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505" w:type="dxa"/>
        <w:tblLook w:val="0000" w:firstRow="0" w:lastRow="0" w:firstColumn="0" w:lastColumn="0" w:noHBand="0" w:noVBand="0"/>
        <w:tblCaption w:val="Cabinet report summary details"/>
      </w:tblPr>
      <w:tblGrid>
        <w:gridCol w:w="3397"/>
        <w:gridCol w:w="4912"/>
        <w:gridCol w:w="196"/>
      </w:tblGrid>
      <w:tr w:rsidR="00333FAA" w14:paraId="322EF0DF" w14:textId="77777777" w:rsidTr="00E75ABD">
        <w:trPr>
          <w:gridAfter w:val="1"/>
          <w:wAfter w:w="196" w:type="dxa"/>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75ABD">
        <w:trPr>
          <w:gridAfter w:val="1"/>
          <w:wAfter w:w="196" w:type="dxa"/>
        </w:trPr>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56227CDA" w:rsidR="00333FAA" w:rsidRPr="005E3A10" w:rsidRDefault="006A795E" w:rsidP="00A53B04">
            <w:pPr>
              <w:rPr>
                <w:rFonts w:cs="Arial"/>
                <w:szCs w:val="24"/>
              </w:rPr>
            </w:pPr>
            <w:r w:rsidRPr="006A795E">
              <w:rPr>
                <w:rFonts w:cs="Arial"/>
                <w:szCs w:val="24"/>
              </w:rPr>
              <w:t>15 September 2022</w:t>
            </w:r>
          </w:p>
        </w:tc>
      </w:tr>
      <w:tr w:rsidR="00333FAA" w14:paraId="3CC97725" w14:textId="77777777" w:rsidTr="00E75ABD">
        <w:trPr>
          <w:gridAfter w:val="1"/>
          <w:wAfter w:w="196" w:type="dxa"/>
        </w:trPr>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6D8FB2C1" w14:textId="2468122A" w:rsidR="00333FAA" w:rsidRPr="005E3A10" w:rsidRDefault="00E56CB2" w:rsidP="00A53B04">
            <w:pPr>
              <w:rPr>
                <w:rFonts w:cs="Arial"/>
                <w:szCs w:val="24"/>
              </w:rPr>
            </w:pPr>
            <w:r w:rsidRPr="00E56CB2">
              <w:rPr>
                <w:rFonts w:cs="Arial"/>
                <w:szCs w:val="24"/>
              </w:rPr>
              <w:t>Harrow Council’s Domestic Abuse Service</w:t>
            </w:r>
          </w:p>
        </w:tc>
      </w:tr>
      <w:tr w:rsidR="00333FAA" w14:paraId="32449166" w14:textId="77777777" w:rsidTr="00E75ABD">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108" w:type="dxa"/>
            <w:gridSpan w:val="2"/>
          </w:tcPr>
          <w:p w14:paraId="6D1B2CD3" w14:textId="062F55B6" w:rsidR="001C7E35" w:rsidRPr="005E3A10" w:rsidRDefault="001C7E35" w:rsidP="001C7E35">
            <w:pPr>
              <w:pStyle w:val="Infotext"/>
              <w:rPr>
                <w:rFonts w:cs="Arial"/>
                <w:sz w:val="24"/>
                <w:szCs w:val="24"/>
              </w:rPr>
            </w:pPr>
            <w:r w:rsidRPr="77E73048">
              <w:rPr>
                <w:rFonts w:cs="Arial"/>
                <w:sz w:val="24"/>
                <w:szCs w:val="24"/>
              </w:rPr>
              <w:t>Yes</w:t>
            </w:r>
            <w:r w:rsidR="2A378A4E" w:rsidRPr="77E73048">
              <w:rPr>
                <w:rFonts w:cs="Arial"/>
                <w:sz w:val="24"/>
                <w:szCs w:val="24"/>
              </w:rPr>
              <w:t xml:space="preserve"> - </w:t>
            </w:r>
            <w:r w:rsidR="00AF5464" w:rsidRPr="00AF5464">
              <w:rPr>
                <w:rFonts w:cs="Arial"/>
                <w:sz w:val="24"/>
                <w:szCs w:val="24"/>
              </w:rPr>
              <w:t xml:space="preserve">By virtue of spend, which is above </w:t>
            </w:r>
            <w:r w:rsidR="00F12FD7">
              <w:rPr>
                <w:rFonts w:cs="Arial"/>
                <w:sz w:val="24"/>
                <w:szCs w:val="24"/>
              </w:rPr>
              <w:t>£</w:t>
            </w:r>
            <w:r w:rsidR="00AF5464" w:rsidRPr="00AF5464">
              <w:rPr>
                <w:rFonts w:cs="Arial"/>
                <w:sz w:val="24"/>
                <w:szCs w:val="24"/>
              </w:rPr>
              <w:t>500,000</w:t>
            </w:r>
          </w:p>
          <w:p w14:paraId="3EADF2B3" w14:textId="77777777" w:rsidR="00333FAA" w:rsidRPr="005E3A10" w:rsidRDefault="00333FAA" w:rsidP="00A53B04">
            <w:pPr>
              <w:rPr>
                <w:rFonts w:cs="Arial"/>
                <w:szCs w:val="24"/>
              </w:rPr>
            </w:pPr>
          </w:p>
        </w:tc>
      </w:tr>
      <w:tr w:rsidR="001C7E35" w14:paraId="79E96200" w14:textId="77777777" w:rsidTr="00E75ABD">
        <w:trPr>
          <w:gridAfter w:val="1"/>
          <w:wAfter w:w="196" w:type="dxa"/>
        </w:trPr>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49EB528" w14:textId="0967C1AE" w:rsidR="001C7E35" w:rsidRPr="005E3A10" w:rsidRDefault="00B33B88" w:rsidP="00D835CF">
            <w:pPr>
              <w:pStyle w:val="Infotext"/>
              <w:rPr>
                <w:rFonts w:cs="Arial"/>
                <w:sz w:val="24"/>
                <w:szCs w:val="24"/>
              </w:rPr>
            </w:pPr>
            <w:r w:rsidRPr="77E73048">
              <w:rPr>
                <w:rFonts w:cs="Arial"/>
                <w:sz w:val="24"/>
                <w:szCs w:val="24"/>
                <w:lang w:eastAsia="en-GB"/>
              </w:rPr>
              <w:t>Alex Dewsnap</w:t>
            </w:r>
            <w:r w:rsidR="126B838A" w:rsidRPr="77E73048">
              <w:rPr>
                <w:rFonts w:cs="Arial"/>
                <w:sz w:val="24"/>
                <w:szCs w:val="24"/>
                <w:lang w:eastAsia="en-GB"/>
              </w:rPr>
              <w:t xml:space="preserve"> - </w:t>
            </w:r>
            <w:r w:rsidRPr="77E73048">
              <w:rPr>
                <w:rFonts w:cs="Arial"/>
                <w:sz w:val="24"/>
                <w:szCs w:val="24"/>
                <w:lang w:eastAsia="en-GB"/>
              </w:rPr>
              <w:t xml:space="preserve">Acting </w:t>
            </w:r>
            <w:r w:rsidR="00607D9A" w:rsidRPr="77E73048">
              <w:rPr>
                <w:rFonts w:cs="Arial"/>
                <w:sz w:val="24"/>
                <w:szCs w:val="24"/>
                <w:lang w:eastAsia="en-GB"/>
              </w:rPr>
              <w:t xml:space="preserve">Corporate Director, </w:t>
            </w:r>
            <w:r w:rsidRPr="77E73048">
              <w:rPr>
                <w:rFonts w:cs="Arial"/>
                <w:sz w:val="24"/>
                <w:szCs w:val="24"/>
                <w:lang w:eastAsia="en-GB"/>
              </w:rPr>
              <w:t>Resources</w:t>
            </w:r>
          </w:p>
          <w:p w14:paraId="3798BF23" w14:textId="77777777" w:rsidR="001C7E35" w:rsidRPr="005E3A10" w:rsidRDefault="001C7E35" w:rsidP="00D835CF">
            <w:pPr>
              <w:pStyle w:val="Infotext"/>
              <w:rPr>
                <w:rFonts w:cs="Arial"/>
                <w:sz w:val="24"/>
                <w:szCs w:val="24"/>
              </w:rPr>
            </w:pPr>
          </w:p>
        </w:tc>
      </w:tr>
      <w:tr w:rsidR="001C7E35" w14:paraId="3B6FD8B1" w14:textId="77777777" w:rsidTr="00E75ABD">
        <w:trPr>
          <w:gridAfter w:val="1"/>
          <w:wAfter w:w="196" w:type="dxa"/>
        </w:trPr>
        <w:tc>
          <w:tcPr>
            <w:tcW w:w="3397" w:type="dxa"/>
          </w:tcPr>
          <w:p w14:paraId="0961945D" w14:textId="63EF027D" w:rsidR="001C7E35" w:rsidRPr="00C13A5F" w:rsidRDefault="001C7E35" w:rsidP="00C869F3">
            <w:pPr>
              <w:pStyle w:val="Infotext"/>
              <w:spacing w:after="240"/>
              <w:rPr>
                <w:rFonts w:ascii="Arial Black" w:hAnsi="Arial Black"/>
              </w:rPr>
            </w:pPr>
            <w:r w:rsidRPr="5ABDB0D3">
              <w:rPr>
                <w:rFonts w:ascii="Arial Black" w:hAnsi="Arial Black"/>
              </w:rPr>
              <w:t>Portfolio Holder</w:t>
            </w:r>
            <w:r w:rsidR="00E83873" w:rsidRPr="5ABDB0D3">
              <w:rPr>
                <w:rFonts w:ascii="Arial Black" w:hAnsi="Arial Black"/>
              </w:rPr>
              <w:t xml:space="preserve"> (s)</w:t>
            </w:r>
            <w:r w:rsidRPr="5ABDB0D3">
              <w:rPr>
                <w:rFonts w:ascii="Arial Black" w:hAnsi="Arial Black"/>
              </w:rPr>
              <w:t>:</w:t>
            </w:r>
          </w:p>
        </w:tc>
        <w:tc>
          <w:tcPr>
            <w:tcW w:w="4912" w:type="dxa"/>
          </w:tcPr>
          <w:p w14:paraId="7CF6A4F3" w14:textId="2718E537" w:rsidR="00A728BA" w:rsidRPr="00A728BA" w:rsidRDefault="00A728BA" w:rsidP="00AB0CCA">
            <w:pPr>
              <w:suppressAutoHyphens/>
              <w:autoSpaceDN w:val="0"/>
              <w:spacing w:before="100"/>
              <w:textAlignment w:val="baseline"/>
              <w:rPr>
                <w:lang w:eastAsia="en-GB"/>
              </w:rPr>
            </w:pPr>
            <w:r w:rsidRPr="77E73048">
              <w:rPr>
                <w:lang w:eastAsia="en-GB"/>
              </w:rPr>
              <w:t xml:space="preserve">Cllr Anjana Patel - Portfolio Holder for Environment &amp; Community Safety </w:t>
            </w:r>
          </w:p>
          <w:p w14:paraId="1D22F6FD" w14:textId="38BA7911" w:rsidR="00A728BA" w:rsidRPr="00A728BA" w:rsidRDefault="00A728BA" w:rsidP="00AB0CCA">
            <w:pPr>
              <w:spacing w:before="100" w:line="259" w:lineRule="auto"/>
              <w:rPr>
                <w:rFonts w:cs="Arial"/>
                <w:lang w:eastAsia="en-GB"/>
              </w:rPr>
            </w:pPr>
            <w:r w:rsidRPr="77E73048">
              <w:rPr>
                <w:rFonts w:cs="Arial"/>
                <w:lang w:eastAsia="en-GB"/>
              </w:rPr>
              <w:t>Cllr Pritesh Patel - Portfolio Holder for Adult Services &amp; Public Health</w:t>
            </w:r>
          </w:p>
          <w:p w14:paraId="616A135C" w14:textId="1832E929" w:rsidR="00A728BA" w:rsidRDefault="00A728BA" w:rsidP="00AB0CCA">
            <w:pPr>
              <w:spacing w:before="100" w:line="259" w:lineRule="auto"/>
              <w:rPr>
                <w:rFonts w:cs="Arial"/>
                <w:lang w:eastAsia="en-GB"/>
              </w:rPr>
            </w:pPr>
            <w:r w:rsidRPr="77E73048">
              <w:rPr>
                <w:rFonts w:cs="Arial"/>
                <w:lang w:eastAsia="en-GB"/>
              </w:rPr>
              <w:t>Cllr Hitesh Karia - Portfolio Holder for Children’s Services</w:t>
            </w:r>
          </w:p>
          <w:p w14:paraId="7F8558B9" w14:textId="26141175" w:rsidR="001C7E35" w:rsidRPr="00A22067" w:rsidRDefault="007A57E5" w:rsidP="00AB0CCA">
            <w:pPr>
              <w:spacing w:before="100" w:line="259" w:lineRule="auto"/>
              <w:rPr>
                <w:rFonts w:cs="Arial"/>
              </w:rPr>
            </w:pPr>
            <w:r w:rsidRPr="77E73048">
              <w:rPr>
                <w:rFonts w:cs="Arial"/>
                <w:lang w:eastAsia="en-GB"/>
              </w:rPr>
              <w:t xml:space="preserve">Cllr Mina Parmar - </w:t>
            </w:r>
            <w:r w:rsidR="00A728BA" w:rsidRPr="77E73048">
              <w:rPr>
                <w:rFonts w:cs="Arial"/>
                <w:lang w:eastAsia="en-GB"/>
              </w:rPr>
              <w:t>Portfolio Holder for Housing</w:t>
            </w:r>
          </w:p>
          <w:p w14:paraId="39A9A01A" w14:textId="18BFC9CE" w:rsidR="001C7E35" w:rsidRPr="005E3A10" w:rsidRDefault="001C7E35" w:rsidP="00D835CF">
            <w:pPr>
              <w:pStyle w:val="Infotext"/>
              <w:rPr>
                <w:rFonts w:cs="Arial"/>
                <w:color w:val="FF0000"/>
                <w:sz w:val="24"/>
                <w:szCs w:val="24"/>
              </w:rPr>
            </w:pPr>
          </w:p>
        </w:tc>
      </w:tr>
      <w:tr w:rsidR="001C7E35" w14:paraId="3CF618C8" w14:textId="77777777" w:rsidTr="00E75ABD">
        <w:trPr>
          <w:gridAfter w:val="1"/>
          <w:wAfter w:w="196" w:type="dxa"/>
        </w:trPr>
        <w:tc>
          <w:tcPr>
            <w:tcW w:w="3397"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4C65BD0" w14:textId="37E97CCA" w:rsidR="001C7E35" w:rsidRPr="005E3A10" w:rsidRDefault="00E75ABD" w:rsidP="00D835CF">
            <w:pPr>
              <w:pStyle w:val="Infotext"/>
              <w:rPr>
                <w:rFonts w:cs="Arial"/>
                <w:sz w:val="24"/>
                <w:szCs w:val="24"/>
              </w:rPr>
            </w:pPr>
            <w:r>
              <w:rPr>
                <w:rFonts w:cs="Arial"/>
                <w:sz w:val="24"/>
                <w:szCs w:val="24"/>
              </w:rPr>
              <w:t>Open</w:t>
            </w:r>
            <w:r w:rsidRPr="77E73048">
              <w:rPr>
                <w:rFonts w:cs="Arial"/>
                <w:sz w:val="24"/>
                <w:szCs w:val="24"/>
              </w:rPr>
              <w:t xml:space="preserve"> </w:t>
            </w:r>
            <w:r w:rsidR="5D59B978" w:rsidRPr="77E73048">
              <w:rPr>
                <w:rFonts w:cs="Arial"/>
                <w:sz w:val="24"/>
                <w:szCs w:val="24"/>
              </w:rPr>
              <w:t xml:space="preserve">except for </w:t>
            </w:r>
            <w:r>
              <w:rPr>
                <w:rFonts w:cs="Arial"/>
                <w:sz w:val="24"/>
                <w:szCs w:val="24"/>
              </w:rPr>
              <w:t xml:space="preserve">appendices 2 to 13 </w:t>
            </w:r>
            <w:r w:rsidR="5D59B978" w:rsidRPr="77E73048">
              <w:rPr>
                <w:rFonts w:cs="Arial"/>
                <w:sz w:val="24"/>
                <w:szCs w:val="24"/>
              </w:rPr>
              <w:t xml:space="preserve"> which are </w:t>
            </w:r>
            <w:r w:rsidR="00BD74E1" w:rsidRPr="77E73048">
              <w:rPr>
                <w:rFonts w:cs="Arial"/>
                <w:sz w:val="24"/>
                <w:szCs w:val="24"/>
              </w:rPr>
              <w:t>e</w:t>
            </w:r>
            <w:r w:rsidR="00A836E9" w:rsidRPr="77E73048">
              <w:rPr>
                <w:rFonts w:cs="Arial"/>
                <w:sz w:val="24"/>
                <w:szCs w:val="24"/>
              </w:rPr>
              <w:t xml:space="preserve">xempt by virtue of paragraph 3 of Schedule 12A of the Local Government Act 1972 in that </w:t>
            </w:r>
            <w:r w:rsidR="364F3AFC" w:rsidRPr="77E73048">
              <w:rPr>
                <w:rFonts w:cs="Arial"/>
                <w:sz w:val="24"/>
                <w:szCs w:val="24"/>
              </w:rPr>
              <w:t xml:space="preserve">they </w:t>
            </w:r>
            <w:r w:rsidR="00A836E9" w:rsidRPr="77E73048">
              <w:rPr>
                <w:rFonts w:cs="Arial"/>
                <w:sz w:val="24"/>
                <w:szCs w:val="24"/>
              </w:rPr>
              <w:t>contain information relating to the financial or business affairs of any particular person (including the authority holding that information</w:t>
            </w:r>
            <w:r w:rsidR="00BD74E1" w:rsidRPr="77E73048">
              <w:rPr>
                <w:rFonts w:cs="Arial"/>
                <w:sz w:val="24"/>
                <w:szCs w:val="24"/>
              </w:rPr>
              <w:t>).</w:t>
            </w:r>
          </w:p>
          <w:p w14:paraId="47D5EFD3" w14:textId="06FCC2C4" w:rsidR="001C7E35" w:rsidRPr="005E3A10" w:rsidRDefault="001C7E35" w:rsidP="00D835CF">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75ABD">
        <w:trPr>
          <w:gridAfter w:val="1"/>
          <w:wAfter w:w="196" w:type="dxa"/>
        </w:trPr>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4B40AAFF" w14:textId="1F378002" w:rsidR="00A22067" w:rsidRPr="005E3A10" w:rsidRDefault="001C7E35" w:rsidP="00A22067">
            <w:pPr>
              <w:pStyle w:val="Infotext"/>
              <w:rPr>
                <w:rFonts w:cs="Arial"/>
                <w:szCs w:val="24"/>
              </w:rPr>
            </w:pPr>
            <w:r w:rsidRPr="005E3A10">
              <w:rPr>
                <w:rFonts w:cs="Arial"/>
                <w:sz w:val="24"/>
                <w:szCs w:val="24"/>
              </w:rPr>
              <w:t xml:space="preserve">Yes </w:t>
            </w:r>
          </w:p>
          <w:p w14:paraId="0AECD361" w14:textId="0432C7CB"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75ABD">
        <w:trPr>
          <w:gridAfter w:val="1"/>
          <w:wAfter w:w="196" w:type="dxa"/>
        </w:trPr>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12" w:type="dxa"/>
          </w:tcPr>
          <w:p w14:paraId="202552BB" w14:textId="5222A1E8" w:rsidR="001C7E35" w:rsidRDefault="00A22067" w:rsidP="00D835CF">
            <w:pPr>
              <w:rPr>
                <w:rFonts w:cs="Arial"/>
                <w:szCs w:val="24"/>
              </w:rPr>
            </w:pPr>
            <w:r>
              <w:rPr>
                <w:rFonts w:cs="Arial"/>
                <w:szCs w:val="24"/>
              </w:rPr>
              <w:t>All wards</w:t>
            </w:r>
          </w:p>
          <w:p w14:paraId="52E38AE7" w14:textId="15AA1F9E" w:rsidR="00307F76" w:rsidRPr="00307F76" w:rsidRDefault="00307F76" w:rsidP="00D835CF">
            <w:pPr>
              <w:rPr>
                <w:rFonts w:cs="Arial"/>
                <w:b/>
                <w:color w:val="FF0000"/>
                <w:szCs w:val="24"/>
              </w:rPr>
            </w:pPr>
          </w:p>
        </w:tc>
      </w:tr>
      <w:tr w:rsidR="001C7E35" w14:paraId="5F1445BF" w14:textId="77777777" w:rsidTr="00E75ABD">
        <w:trPr>
          <w:gridAfter w:val="1"/>
          <w:wAfter w:w="196" w:type="dxa"/>
        </w:trPr>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912" w:type="dxa"/>
          </w:tcPr>
          <w:p w14:paraId="180F0A68" w14:textId="55E38C5D" w:rsidR="001C7E35" w:rsidRPr="00FF2D94" w:rsidRDefault="72A01B41" w:rsidP="00DB6C3D">
            <w:pPr>
              <w:pStyle w:val="Infotext"/>
              <w:rPr>
                <w:rFonts w:cs="Arial"/>
                <w:sz w:val="24"/>
                <w:szCs w:val="24"/>
              </w:rPr>
            </w:pPr>
            <w:r w:rsidRPr="77E73048">
              <w:rPr>
                <w:rFonts w:cs="Arial"/>
                <w:sz w:val="24"/>
                <w:szCs w:val="24"/>
              </w:rPr>
              <w:t xml:space="preserve">Appendix 1 - </w:t>
            </w:r>
            <w:r w:rsidR="00F3469F" w:rsidRPr="77E73048">
              <w:rPr>
                <w:rFonts w:cs="Arial"/>
                <w:sz w:val="24"/>
                <w:szCs w:val="24"/>
              </w:rPr>
              <w:t>Equalities Impact Assessment (EqIA)</w:t>
            </w:r>
          </w:p>
          <w:p w14:paraId="1C5589CA" w14:textId="77777777" w:rsidR="00EF7B2B" w:rsidRPr="00FF2D94" w:rsidRDefault="00EF7B2B" w:rsidP="00DB6C3D">
            <w:pPr>
              <w:pStyle w:val="Infotext"/>
              <w:rPr>
                <w:rFonts w:cs="Arial"/>
                <w:sz w:val="24"/>
                <w:szCs w:val="24"/>
              </w:rPr>
            </w:pPr>
          </w:p>
          <w:p w14:paraId="39A31416" w14:textId="1061027F" w:rsidR="00687651" w:rsidRPr="00E75ABD" w:rsidRDefault="00B121AE" w:rsidP="00DB6C3D">
            <w:pPr>
              <w:pStyle w:val="Infotext"/>
              <w:rPr>
                <w:rFonts w:cs="Arial"/>
                <w:sz w:val="24"/>
                <w:szCs w:val="24"/>
                <w:u w:val="single"/>
              </w:rPr>
            </w:pPr>
            <w:r w:rsidRPr="00E75ABD">
              <w:rPr>
                <w:rFonts w:cs="Arial"/>
                <w:sz w:val="24"/>
                <w:szCs w:val="24"/>
                <w:u w:val="single"/>
              </w:rPr>
              <w:t>Exempt Appendi</w:t>
            </w:r>
            <w:r w:rsidR="0005253A" w:rsidRPr="00E75ABD">
              <w:rPr>
                <w:rFonts w:cs="Arial"/>
                <w:sz w:val="24"/>
                <w:szCs w:val="24"/>
                <w:u w:val="single"/>
              </w:rPr>
              <w:t>ces</w:t>
            </w:r>
            <w:r w:rsidR="00687651" w:rsidRPr="00E75ABD">
              <w:rPr>
                <w:rFonts w:cs="Arial"/>
                <w:sz w:val="24"/>
                <w:szCs w:val="24"/>
                <w:u w:val="single"/>
              </w:rPr>
              <w:t>:</w:t>
            </w:r>
          </w:p>
          <w:p w14:paraId="0F69302F" w14:textId="66616771" w:rsidR="00EF7B2B" w:rsidRPr="00855437" w:rsidRDefault="7E895A27" w:rsidP="004C08AE">
            <w:pPr>
              <w:pStyle w:val="Infotext"/>
              <w:rPr>
                <w:sz w:val="24"/>
                <w:szCs w:val="24"/>
              </w:rPr>
            </w:pPr>
            <w:r w:rsidRPr="77E73048">
              <w:rPr>
                <w:rFonts w:cs="Arial"/>
                <w:sz w:val="24"/>
                <w:szCs w:val="24"/>
              </w:rPr>
              <w:t xml:space="preserve">Appendix 2 - </w:t>
            </w:r>
            <w:r w:rsidR="00B121AE" w:rsidRPr="77E73048">
              <w:rPr>
                <w:rFonts w:cs="Arial"/>
                <w:sz w:val="24"/>
                <w:szCs w:val="24"/>
              </w:rPr>
              <w:t>Invitation to Tender</w:t>
            </w:r>
            <w:r w:rsidR="00502378" w:rsidRPr="77E73048">
              <w:rPr>
                <w:rFonts w:cs="Arial"/>
                <w:sz w:val="24"/>
                <w:szCs w:val="24"/>
              </w:rPr>
              <w:t xml:space="preserve"> – Domestic Abuse Service</w:t>
            </w:r>
          </w:p>
          <w:p w14:paraId="709D6E6A" w14:textId="14360AD5" w:rsidR="00855437" w:rsidRDefault="4E8B19D7" w:rsidP="004C08AE">
            <w:pPr>
              <w:pStyle w:val="Infotext"/>
              <w:rPr>
                <w:sz w:val="24"/>
                <w:szCs w:val="24"/>
              </w:rPr>
            </w:pPr>
            <w:r w:rsidRPr="77E73048">
              <w:rPr>
                <w:sz w:val="24"/>
                <w:szCs w:val="24"/>
              </w:rPr>
              <w:t xml:space="preserve">Appendix 3 - </w:t>
            </w:r>
            <w:r w:rsidR="00B841EF" w:rsidRPr="77E73048">
              <w:rPr>
                <w:sz w:val="24"/>
                <w:szCs w:val="24"/>
              </w:rPr>
              <w:t>Draft Contract for Domestic Abuse Service</w:t>
            </w:r>
            <w:r w:rsidR="0040705B" w:rsidRPr="77E73048">
              <w:rPr>
                <w:sz w:val="24"/>
                <w:szCs w:val="24"/>
              </w:rPr>
              <w:t xml:space="preserve"> – Lot 1</w:t>
            </w:r>
          </w:p>
          <w:p w14:paraId="1622017E" w14:textId="4F162625" w:rsidR="0040705B" w:rsidRDefault="100AAB08" w:rsidP="004C08AE">
            <w:pPr>
              <w:pStyle w:val="Infotext"/>
              <w:rPr>
                <w:sz w:val="24"/>
                <w:szCs w:val="24"/>
              </w:rPr>
            </w:pPr>
            <w:r w:rsidRPr="77E73048">
              <w:rPr>
                <w:sz w:val="24"/>
                <w:szCs w:val="24"/>
              </w:rPr>
              <w:lastRenderedPageBreak/>
              <w:t xml:space="preserve">Appendix 4 - </w:t>
            </w:r>
            <w:r w:rsidR="0040705B" w:rsidRPr="77E73048">
              <w:rPr>
                <w:sz w:val="24"/>
                <w:szCs w:val="24"/>
              </w:rPr>
              <w:t>Draft Contract for Domestic Abuse Service – Lot 2</w:t>
            </w:r>
          </w:p>
          <w:p w14:paraId="1C9BEAF0" w14:textId="673A623E" w:rsidR="0040705B" w:rsidRDefault="3CB3B286" w:rsidP="004C08AE">
            <w:pPr>
              <w:pStyle w:val="Infotext"/>
              <w:rPr>
                <w:sz w:val="24"/>
                <w:szCs w:val="24"/>
              </w:rPr>
            </w:pPr>
            <w:r w:rsidRPr="77E73048">
              <w:rPr>
                <w:sz w:val="24"/>
                <w:szCs w:val="24"/>
              </w:rPr>
              <w:t xml:space="preserve">Appendix 5 - </w:t>
            </w:r>
            <w:r w:rsidR="00B12649" w:rsidRPr="77E73048">
              <w:rPr>
                <w:sz w:val="24"/>
                <w:szCs w:val="24"/>
              </w:rPr>
              <w:t>Housing Management Contract - Supported Housing (Draft)</w:t>
            </w:r>
          </w:p>
          <w:p w14:paraId="17BADD82" w14:textId="2CEAEDBE" w:rsidR="00B12649" w:rsidRDefault="4C5B8B4D" w:rsidP="004C08AE">
            <w:pPr>
              <w:pStyle w:val="Infotext"/>
              <w:rPr>
                <w:sz w:val="24"/>
                <w:szCs w:val="24"/>
              </w:rPr>
            </w:pPr>
            <w:r w:rsidRPr="77E73048">
              <w:rPr>
                <w:sz w:val="24"/>
                <w:szCs w:val="24"/>
              </w:rPr>
              <w:t xml:space="preserve">Appendix 6 - </w:t>
            </w:r>
            <w:r w:rsidR="007176F2" w:rsidRPr="77E73048">
              <w:rPr>
                <w:sz w:val="24"/>
                <w:szCs w:val="24"/>
              </w:rPr>
              <w:t>Social Value Action Plan (for completion) - Lot 1</w:t>
            </w:r>
          </w:p>
          <w:p w14:paraId="58D7ABBE" w14:textId="4D7FC3B6" w:rsidR="007176F2" w:rsidRDefault="2E9AE516" w:rsidP="004C08AE">
            <w:pPr>
              <w:pStyle w:val="Infotext"/>
              <w:rPr>
                <w:sz w:val="24"/>
                <w:szCs w:val="24"/>
              </w:rPr>
            </w:pPr>
            <w:r w:rsidRPr="77E73048">
              <w:rPr>
                <w:sz w:val="24"/>
                <w:szCs w:val="24"/>
              </w:rPr>
              <w:t xml:space="preserve">Appendix 7 - </w:t>
            </w:r>
            <w:r w:rsidR="007176F2" w:rsidRPr="77E73048">
              <w:rPr>
                <w:sz w:val="24"/>
                <w:szCs w:val="24"/>
              </w:rPr>
              <w:t>Social Value Action Plan (for completion) - Lot 2</w:t>
            </w:r>
          </w:p>
          <w:p w14:paraId="0063F42A" w14:textId="7BDF35D7" w:rsidR="007176F2" w:rsidRDefault="4906527B" w:rsidP="004C08AE">
            <w:pPr>
              <w:pStyle w:val="Infotext"/>
              <w:rPr>
                <w:sz w:val="24"/>
                <w:szCs w:val="24"/>
              </w:rPr>
            </w:pPr>
            <w:r w:rsidRPr="77E73048">
              <w:rPr>
                <w:sz w:val="24"/>
                <w:szCs w:val="24"/>
              </w:rPr>
              <w:t xml:space="preserve">Appendix 8 - </w:t>
            </w:r>
            <w:r w:rsidR="00CB79A8" w:rsidRPr="77E73048">
              <w:rPr>
                <w:sz w:val="24"/>
                <w:szCs w:val="24"/>
              </w:rPr>
              <w:t>Social Value Background Information</w:t>
            </w:r>
          </w:p>
          <w:p w14:paraId="5645E7D5" w14:textId="29A34746" w:rsidR="00CB79A8" w:rsidRDefault="25510CD1" w:rsidP="004C08AE">
            <w:pPr>
              <w:pStyle w:val="Infotext"/>
              <w:rPr>
                <w:sz w:val="24"/>
                <w:szCs w:val="24"/>
              </w:rPr>
            </w:pPr>
            <w:r w:rsidRPr="77E73048">
              <w:rPr>
                <w:sz w:val="24"/>
                <w:szCs w:val="24"/>
              </w:rPr>
              <w:t xml:space="preserve">Appendix 9 - </w:t>
            </w:r>
            <w:r w:rsidR="00CB79A8" w:rsidRPr="77E73048">
              <w:rPr>
                <w:sz w:val="24"/>
                <w:szCs w:val="24"/>
              </w:rPr>
              <w:t>Social Value Guidance</w:t>
            </w:r>
          </w:p>
          <w:p w14:paraId="02D8197B" w14:textId="10D2CC49" w:rsidR="00CB79A8" w:rsidRDefault="378EA6EA" w:rsidP="004C08AE">
            <w:pPr>
              <w:pStyle w:val="Infotext"/>
              <w:rPr>
                <w:sz w:val="24"/>
                <w:szCs w:val="24"/>
              </w:rPr>
            </w:pPr>
            <w:r w:rsidRPr="77E73048">
              <w:rPr>
                <w:sz w:val="24"/>
                <w:szCs w:val="24"/>
              </w:rPr>
              <w:t xml:space="preserve">Appendix 10 - </w:t>
            </w:r>
            <w:r w:rsidR="00652A02" w:rsidRPr="77E73048">
              <w:rPr>
                <w:sz w:val="24"/>
                <w:szCs w:val="24"/>
              </w:rPr>
              <w:t>Social Value Method Statement</w:t>
            </w:r>
          </w:p>
          <w:p w14:paraId="6750BA74" w14:textId="67ABBA1F" w:rsidR="00652A02" w:rsidRDefault="372EEB2A" w:rsidP="004C08AE">
            <w:pPr>
              <w:pStyle w:val="Infotext"/>
              <w:rPr>
                <w:sz w:val="24"/>
                <w:szCs w:val="24"/>
              </w:rPr>
            </w:pPr>
            <w:r w:rsidRPr="77E73048">
              <w:rPr>
                <w:sz w:val="24"/>
                <w:szCs w:val="24"/>
              </w:rPr>
              <w:t xml:space="preserve">Appendix 11 - </w:t>
            </w:r>
            <w:r w:rsidR="00652A02" w:rsidRPr="77E73048">
              <w:rPr>
                <w:sz w:val="24"/>
                <w:szCs w:val="24"/>
              </w:rPr>
              <w:t>Specification Lot 1 - Domestic Abuse Support Service</w:t>
            </w:r>
          </w:p>
          <w:p w14:paraId="7978A6BB" w14:textId="77CACFDF" w:rsidR="00652A02" w:rsidRDefault="40DDE6CA" w:rsidP="004C08AE">
            <w:pPr>
              <w:pStyle w:val="Infotext"/>
              <w:rPr>
                <w:sz w:val="24"/>
                <w:szCs w:val="24"/>
              </w:rPr>
            </w:pPr>
            <w:r w:rsidRPr="77E73048">
              <w:rPr>
                <w:sz w:val="24"/>
                <w:szCs w:val="24"/>
              </w:rPr>
              <w:t xml:space="preserve">Appendix 12 - </w:t>
            </w:r>
            <w:r w:rsidR="00C10C6C" w:rsidRPr="77E73048">
              <w:rPr>
                <w:sz w:val="24"/>
                <w:szCs w:val="24"/>
              </w:rPr>
              <w:t>Specification Lot 2 - Safe Accommodation</w:t>
            </w:r>
          </w:p>
          <w:p w14:paraId="6668D730" w14:textId="38C20B5F" w:rsidR="00C10C6C" w:rsidRPr="00FF2D94" w:rsidRDefault="5CCB8BF0" w:rsidP="004C08AE">
            <w:pPr>
              <w:pStyle w:val="Infotext"/>
              <w:rPr>
                <w:sz w:val="24"/>
                <w:szCs w:val="24"/>
              </w:rPr>
            </w:pPr>
            <w:r w:rsidRPr="77E73048">
              <w:rPr>
                <w:sz w:val="24"/>
                <w:szCs w:val="24"/>
              </w:rPr>
              <w:t xml:space="preserve">Appendix 13 - </w:t>
            </w:r>
            <w:r w:rsidR="00C10C6C" w:rsidRPr="77E73048">
              <w:rPr>
                <w:sz w:val="24"/>
                <w:szCs w:val="24"/>
              </w:rPr>
              <w:t>SQ Scoring Methodology</w:t>
            </w:r>
          </w:p>
        </w:tc>
      </w:tr>
    </w:tbl>
    <w:p w14:paraId="27C48D26" w14:textId="77777777" w:rsidR="00333FAA" w:rsidRDefault="00333FAA" w:rsidP="00C869F3">
      <w:pPr>
        <w:spacing w:after="480"/>
        <w:rPr>
          <w:rFonts w:cs="Arial"/>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647"/>
      </w:tblGrid>
      <w:tr w:rsidR="00333FAA" w14:paraId="39320826" w14:textId="77777777" w:rsidTr="77E73048">
        <w:trPr>
          <w:tblHeader/>
        </w:trPr>
        <w:tc>
          <w:tcPr>
            <w:tcW w:w="8647"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77E73048">
        <w:trPr>
          <w:tblHeader/>
        </w:trPr>
        <w:tc>
          <w:tcPr>
            <w:tcW w:w="8647" w:type="dxa"/>
          </w:tcPr>
          <w:p w14:paraId="4F6F76A4" w14:textId="225576A2" w:rsidR="001C7E35" w:rsidRDefault="00CD641B" w:rsidP="00CD641B">
            <w:pPr>
              <w:ind w:right="-105"/>
              <w:rPr>
                <w:color w:val="0000FF"/>
              </w:rPr>
            </w:pPr>
            <w:r>
              <w:t xml:space="preserve">Harrow Council’s contract for domestic abuse services is due to expire in March 2023. This report seeks Cabinet approval to </w:t>
            </w:r>
            <w:r w:rsidR="00E83873">
              <w:t>re</w:t>
            </w:r>
            <w:r>
              <w:t xml:space="preserve">procure and award new contracts for the service. </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491E63C7" w14:textId="7E8DCD52" w:rsidR="006D266A" w:rsidRDefault="006D266A" w:rsidP="00605A4C"/>
          <w:p w14:paraId="64BFC3F2" w14:textId="616372E6" w:rsidR="005172BE" w:rsidRDefault="72E9DEF1" w:rsidP="753AE1EB">
            <w:pPr>
              <w:numPr>
                <w:ilvl w:val="0"/>
                <w:numId w:val="8"/>
              </w:numPr>
              <w:suppressAutoHyphens/>
              <w:autoSpaceDN w:val="0"/>
              <w:jc w:val="both"/>
              <w:textAlignment w:val="baseline"/>
              <w:rPr>
                <w:rFonts w:eastAsia="Arial" w:cs="Arial"/>
              </w:rPr>
            </w:pPr>
            <w:r w:rsidRPr="70A5ACE7">
              <w:rPr>
                <w:rFonts w:eastAsia="Arial" w:cs="Arial"/>
              </w:rPr>
              <w:t>Approve the</w:t>
            </w:r>
            <w:r w:rsidR="2341543E">
              <w:t xml:space="preserve"> </w:t>
            </w:r>
            <w:r w:rsidR="2341543E" w:rsidRPr="70A5ACE7">
              <w:rPr>
                <w:rFonts w:eastAsia="Arial" w:cs="Arial"/>
              </w:rPr>
              <w:t>commencement of a competitive procurement</w:t>
            </w:r>
            <w:r w:rsidRPr="70A5ACE7">
              <w:rPr>
                <w:rFonts w:eastAsia="Arial" w:cs="Arial"/>
              </w:rPr>
              <w:t xml:space="preserve"> for the domestic abuse service for an initial </w:t>
            </w:r>
            <w:r w:rsidR="5EFB8A68" w:rsidRPr="70A5ACE7">
              <w:rPr>
                <w:rFonts w:eastAsia="Arial" w:cs="Arial"/>
              </w:rPr>
              <w:t xml:space="preserve">contract term </w:t>
            </w:r>
            <w:r w:rsidRPr="70A5ACE7">
              <w:rPr>
                <w:rFonts w:eastAsia="Arial" w:cs="Arial"/>
              </w:rPr>
              <w:t>of three years to run from 1</w:t>
            </w:r>
            <w:r w:rsidRPr="70A5ACE7">
              <w:rPr>
                <w:rFonts w:eastAsia="Arial" w:cs="Arial"/>
                <w:vertAlign w:val="superscript"/>
              </w:rPr>
              <w:t>st</w:t>
            </w:r>
            <w:r w:rsidRPr="70A5ACE7">
              <w:rPr>
                <w:rFonts w:eastAsia="Arial" w:cs="Arial"/>
              </w:rPr>
              <w:t xml:space="preserve"> April 2023 to 31</w:t>
            </w:r>
            <w:r w:rsidRPr="70A5ACE7">
              <w:rPr>
                <w:rFonts w:eastAsia="Arial" w:cs="Arial"/>
                <w:vertAlign w:val="superscript"/>
              </w:rPr>
              <w:t>st</w:t>
            </w:r>
            <w:r w:rsidRPr="70A5ACE7">
              <w:rPr>
                <w:rFonts w:eastAsia="Arial" w:cs="Arial"/>
              </w:rPr>
              <w:t xml:space="preserve"> March 2026, with an option to extend</w:t>
            </w:r>
            <w:r w:rsidR="2341543E">
              <w:t xml:space="preserve"> </w:t>
            </w:r>
            <w:r w:rsidR="2341543E" w:rsidRPr="70A5ACE7">
              <w:rPr>
                <w:rFonts w:eastAsia="Arial" w:cs="Arial"/>
              </w:rPr>
              <w:t xml:space="preserve">for a maximum of a further two years until the </w:t>
            </w:r>
            <w:bookmarkStart w:id="0" w:name="_Int_tz1c5k75"/>
            <w:r w:rsidR="2341543E" w:rsidRPr="70A5ACE7">
              <w:rPr>
                <w:rFonts w:eastAsia="Arial" w:cs="Arial"/>
              </w:rPr>
              <w:t>31</w:t>
            </w:r>
            <w:r w:rsidR="2341543E" w:rsidRPr="70A5ACE7">
              <w:rPr>
                <w:rFonts w:eastAsia="Arial" w:cs="Arial"/>
                <w:vertAlign w:val="superscript"/>
              </w:rPr>
              <w:t>st</w:t>
            </w:r>
            <w:bookmarkEnd w:id="0"/>
            <w:r w:rsidR="2341543E" w:rsidRPr="70A5ACE7">
              <w:rPr>
                <w:rFonts w:eastAsia="Arial" w:cs="Arial"/>
              </w:rPr>
              <w:t xml:space="preserve"> March 2028. The extension options will be exercised in period</w:t>
            </w:r>
            <w:r w:rsidR="570EC6DF" w:rsidRPr="70A5ACE7">
              <w:rPr>
                <w:rFonts w:eastAsia="Arial" w:cs="Arial"/>
              </w:rPr>
              <w:t>s</w:t>
            </w:r>
            <w:r w:rsidR="2341543E" w:rsidRPr="70A5ACE7">
              <w:rPr>
                <w:rFonts w:eastAsia="Arial" w:cs="Arial"/>
              </w:rPr>
              <w:t xml:space="preserve"> of </w:t>
            </w:r>
            <w:r w:rsidR="4EA5C481" w:rsidRPr="70A5ACE7">
              <w:rPr>
                <w:rFonts w:eastAsia="Arial" w:cs="Arial"/>
              </w:rPr>
              <w:t>one-year</w:t>
            </w:r>
            <w:r w:rsidR="2341543E" w:rsidRPr="70A5ACE7">
              <w:rPr>
                <w:rFonts w:eastAsia="Arial" w:cs="Arial"/>
              </w:rPr>
              <w:t xml:space="preserve"> extensions and will be</w:t>
            </w:r>
            <w:r w:rsidRPr="70A5ACE7">
              <w:rPr>
                <w:rFonts w:eastAsia="Arial" w:cs="Arial"/>
              </w:rPr>
              <w:t xml:space="preserve"> subject to </w:t>
            </w:r>
            <w:r w:rsidR="585F109A" w:rsidRPr="70A5ACE7">
              <w:rPr>
                <w:rFonts w:eastAsia="Arial" w:cs="Arial"/>
              </w:rPr>
              <w:t>a rigorous review of performance at the end of the second year of the contract(s)</w:t>
            </w:r>
            <w:r w:rsidRPr="70A5ACE7">
              <w:rPr>
                <w:rFonts w:eastAsia="Arial" w:cs="Arial"/>
              </w:rPr>
              <w:t xml:space="preserve"> and availability of budget (3 years, plus 1, plus 1).</w:t>
            </w:r>
            <w:r w:rsidR="46AF3AF8">
              <w:t xml:space="preserve"> </w:t>
            </w:r>
            <w:r w:rsidR="46AF3AF8" w:rsidRPr="70A5ACE7">
              <w:rPr>
                <w:rFonts w:eastAsia="Arial" w:cs="Arial"/>
              </w:rPr>
              <w:t xml:space="preserve">The value of the contract is £341,655 per annum, totalling £1,024,965 over the initial </w:t>
            </w:r>
            <w:r w:rsidR="2E0D4E42" w:rsidRPr="70A5ACE7">
              <w:rPr>
                <w:rFonts w:eastAsia="Arial" w:cs="Arial"/>
              </w:rPr>
              <w:t xml:space="preserve">contract </w:t>
            </w:r>
            <w:r w:rsidR="46AF3AF8" w:rsidRPr="70A5ACE7">
              <w:rPr>
                <w:rFonts w:eastAsia="Arial" w:cs="Arial"/>
              </w:rPr>
              <w:t>period of three years. The total value of the contract including the two additional extension years is £1,708,275.</w:t>
            </w:r>
          </w:p>
          <w:p w14:paraId="210AD0A1" w14:textId="46487510" w:rsidR="00635C4E" w:rsidRDefault="00635C4E" w:rsidP="005172BE">
            <w:pPr>
              <w:suppressAutoHyphens/>
              <w:autoSpaceDN w:val="0"/>
              <w:ind w:left="360"/>
              <w:jc w:val="both"/>
              <w:textAlignment w:val="baseline"/>
              <w:rPr>
                <w:rFonts w:eastAsia="Arial" w:cs="Arial"/>
              </w:rPr>
            </w:pPr>
            <w:r w:rsidRPr="753AE1EB">
              <w:rPr>
                <w:rFonts w:eastAsia="Arial" w:cs="Arial"/>
              </w:rPr>
              <w:t xml:space="preserve"> </w:t>
            </w:r>
          </w:p>
          <w:p w14:paraId="3880F66A" w14:textId="08830B5E" w:rsidR="00DD15FE" w:rsidRPr="00DD15FE" w:rsidRDefault="00D90D7F" w:rsidP="753AE1EB">
            <w:pPr>
              <w:numPr>
                <w:ilvl w:val="0"/>
                <w:numId w:val="8"/>
              </w:numPr>
              <w:suppressAutoHyphens/>
              <w:autoSpaceDN w:val="0"/>
              <w:jc w:val="both"/>
              <w:textAlignment w:val="baseline"/>
              <w:rPr>
                <w:rFonts w:eastAsia="Arial" w:cs="Arial"/>
              </w:rPr>
            </w:pPr>
            <w:r w:rsidRPr="00D90D7F">
              <w:rPr>
                <w:rFonts w:eastAsia="Arial" w:cs="Arial"/>
              </w:rPr>
              <w:t>Approve splitting the provision of the Domestic Abuse service into two procurement Lots</w:t>
            </w:r>
            <w:r w:rsidR="00DD15FE" w:rsidRPr="753AE1EB">
              <w:rPr>
                <w:rFonts w:eastAsia="Arial" w:cs="Arial"/>
              </w:rPr>
              <w:t xml:space="preserve">: </w:t>
            </w:r>
          </w:p>
          <w:p w14:paraId="467A1986" w14:textId="4D7E2FBB" w:rsidR="00DD15FE" w:rsidRPr="00F3469F" w:rsidRDefault="00DD15FE" w:rsidP="00C81D91">
            <w:pPr>
              <w:numPr>
                <w:ilvl w:val="0"/>
                <w:numId w:val="9"/>
              </w:numPr>
              <w:suppressAutoHyphens/>
              <w:autoSpaceDN w:val="0"/>
              <w:jc w:val="both"/>
              <w:textAlignment w:val="baseline"/>
              <w:rPr>
                <w:rFonts w:eastAsia="Calibri" w:cs="Arial"/>
              </w:rPr>
            </w:pPr>
            <w:r w:rsidRPr="753AE1EB">
              <w:rPr>
                <w:rFonts w:eastAsia="Calibri" w:cs="Arial"/>
              </w:rPr>
              <w:t>Lot 1: Domestic Abuse Support Service: Strategic coordination and direct support to domestic abuse victims/survivors</w:t>
            </w:r>
            <w:r w:rsidR="00C22A40" w:rsidRPr="753AE1EB">
              <w:rPr>
                <w:rFonts w:eastAsia="Calibri" w:cs="Arial"/>
              </w:rPr>
              <w:t xml:space="preserve"> (</w:t>
            </w:r>
            <w:r w:rsidR="0065214B" w:rsidRPr="753AE1EB">
              <w:rPr>
                <w:rFonts w:eastAsia="Calibri" w:cs="Arial"/>
              </w:rPr>
              <w:t>with a contract value of £269,655 per year</w:t>
            </w:r>
            <w:r w:rsidRPr="753AE1EB">
              <w:rPr>
                <w:rFonts w:eastAsia="Calibri" w:cs="Arial"/>
              </w:rPr>
              <w:t>); and</w:t>
            </w:r>
          </w:p>
          <w:p w14:paraId="5531FB6D" w14:textId="3857208C" w:rsidR="00DD15FE" w:rsidRPr="00DD15FE" w:rsidRDefault="00DD15FE" w:rsidP="00C81D91">
            <w:pPr>
              <w:numPr>
                <w:ilvl w:val="0"/>
                <w:numId w:val="9"/>
              </w:numPr>
              <w:suppressAutoHyphens/>
              <w:autoSpaceDN w:val="0"/>
              <w:jc w:val="both"/>
              <w:textAlignment w:val="baseline"/>
              <w:rPr>
                <w:rFonts w:eastAsia="Calibri" w:cs="Arial"/>
              </w:rPr>
            </w:pPr>
            <w:r w:rsidRPr="753AE1EB">
              <w:rPr>
                <w:rFonts w:eastAsia="Calibri" w:cs="Arial"/>
              </w:rPr>
              <w:t>Lot 2: Safe Accommodation: Refuge Support and Management and Floating Support</w:t>
            </w:r>
            <w:r w:rsidR="000F32CD" w:rsidRPr="753AE1EB">
              <w:rPr>
                <w:rFonts w:eastAsia="Calibri" w:cs="Arial"/>
              </w:rPr>
              <w:t xml:space="preserve"> (with a contract value of £72,000 per year). </w:t>
            </w:r>
          </w:p>
          <w:p w14:paraId="798764F4" w14:textId="77777777" w:rsidR="00DD15FE" w:rsidRPr="00DD15FE" w:rsidRDefault="00DD15FE" w:rsidP="00DD15FE">
            <w:pPr>
              <w:suppressAutoHyphens/>
              <w:autoSpaceDN w:val="0"/>
              <w:ind w:left="360"/>
              <w:jc w:val="both"/>
              <w:textAlignment w:val="baseline"/>
              <w:rPr>
                <w:highlight w:val="yellow"/>
              </w:rPr>
            </w:pPr>
          </w:p>
          <w:p w14:paraId="2132B18D" w14:textId="3D1C35C1" w:rsidR="006E0000" w:rsidRDefault="2A47A6A5" w:rsidP="753AE1EB">
            <w:pPr>
              <w:numPr>
                <w:ilvl w:val="0"/>
                <w:numId w:val="8"/>
              </w:numPr>
              <w:suppressAutoHyphens/>
              <w:autoSpaceDN w:val="0"/>
              <w:jc w:val="both"/>
              <w:textAlignment w:val="baseline"/>
              <w:rPr>
                <w:rFonts w:eastAsia="Arial" w:cs="Arial"/>
              </w:rPr>
            </w:pPr>
            <w:r w:rsidRPr="77E73048">
              <w:rPr>
                <w:rFonts w:eastAsia="Arial" w:cs="Arial"/>
              </w:rPr>
              <w:t xml:space="preserve">Following the tender process, delegate authority </w:t>
            </w:r>
            <w:r w:rsidR="13293EEC" w:rsidRPr="77E73048">
              <w:rPr>
                <w:rFonts w:eastAsia="Arial" w:cs="Arial"/>
              </w:rPr>
              <w:t>to</w:t>
            </w:r>
            <w:r w:rsidR="1F6028D0" w:rsidRPr="77E73048">
              <w:rPr>
                <w:rFonts w:eastAsia="Arial" w:cs="Arial"/>
              </w:rPr>
              <w:t xml:space="preserve"> the Acting Corporate Director of Resources following consultation with the Portfolio Holders for Environment and Community Safety and Finance and Human Resources to</w:t>
            </w:r>
            <w:r w:rsidR="13293EEC" w:rsidRPr="77E73048">
              <w:rPr>
                <w:rFonts w:eastAsia="Arial" w:cs="Arial"/>
              </w:rPr>
              <w:t xml:space="preserve"> award the contract</w:t>
            </w:r>
            <w:r w:rsidR="0F18B5A5" w:rsidRPr="77E73048">
              <w:rPr>
                <w:rFonts w:eastAsia="Arial" w:cs="Arial"/>
              </w:rPr>
              <w:t>(</w:t>
            </w:r>
            <w:r w:rsidR="13293EEC" w:rsidRPr="77E73048">
              <w:rPr>
                <w:rFonts w:eastAsia="Arial" w:cs="Arial"/>
              </w:rPr>
              <w:t>s</w:t>
            </w:r>
            <w:r w:rsidR="0F18B5A5" w:rsidRPr="77E73048">
              <w:rPr>
                <w:rFonts w:eastAsia="Arial" w:cs="Arial"/>
              </w:rPr>
              <w:t>)</w:t>
            </w:r>
            <w:r w:rsidR="13293EEC" w:rsidRPr="77E73048">
              <w:rPr>
                <w:rFonts w:eastAsia="Arial" w:cs="Arial"/>
              </w:rPr>
              <w:t xml:space="preserve"> for both </w:t>
            </w:r>
            <w:r w:rsidR="371588AC" w:rsidRPr="77E73048">
              <w:rPr>
                <w:rFonts w:eastAsia="Arial" w:cs="Arial"/>
              </w:rPr>
              <w:t xml:space="preserve">procurement </w:t>
            </w:r>
            <w:r w:rsidR="13293EEC" w:rsidRPr="77E73048">
              <w:rPr>
                <w:rFonts w:eastAsia="Arial" w:cs="Arial"/>
              </w:rPr>
              <w:t xml:space="preserve">lots in the new domestic abuse services </w:t>
            </w:r>
            <w:r w:rsidRPr="77E73048">
              <w:rPr>
                <w:rFonts w:eastAsia="Arial" w:cs="Arial"/>
              </w:rPr>
              <w:t xml:space="preserve"> </w:t>
            </w:r>
          </w:p>
          <w:p w14:paraId="75514E2E" w14:textId="77777777" w:rsidR="005172BE" w:rsidRDefault="005172BE" w:rsidP="005172BE">
            <w:pPr>
              <w:suppressAutoHyphens/>
              <w:autoSpaceDN w:val="0"/>
              <w:ind w:left="360"/>
              <w:jc w:val="both"/>
              <w:textAlignment w:val="baseline"/>
              <w:rPr>
                <w:rFonts w:eastAsia="Arial" w:cs="Arial"/>
              </w:rPr>
            </w:pPr>
          </w:p>
          <w:p w14:paraId="71371BEC" w14:textId="28442FCD" w:rsidR="00E83873" w:rsidRDefault="00E83873" w:rsidP="004203CF">
            <w:pPr>
              <w:numPr>
                <w:ilvl w:val="0"/>
                <w:numId w:val="8"/>
              </w:numPr>
              <w:suppressAutoHyphens/>
              <w:autoSpaceDN w:val="0"/>
              <w:jc w:val="both"/>
              <w:textAlignment w:val="baseline"/>
              <w:rPr>
                <w:rFonts w:eastAsia="Arial" w:cs="Arial"/>
              </w:rPr>
            </w:pPr>
            <w:r w:rsidRPr="77E73048">
              <w:rPr>
                <w:rFonts w:eastAsia="Arial" w:cs="Arial"/>
              </w:rPr>
              <w:t>Delegate authority to</w:t>
            </w:r>
            <w:r w:rsidR="6A640EDB" w:rsidRPr="77E73048">
              <w:rPr>
                <w:rFonts w:eastAsia="Arial" w:cs="Arial"/>
              </w:rPr>
              <w:t xml:space="preserve"> the Acting Corporate Director of Resources, </w:t>
            </w:r>
            <w:r w:rsidR="5773D0D8" w:rsidRPr="77E73048">
              <w:rPr>
                <w:rFonts w:eastAsia="Arial" w:cs="Arial"/>
              </w:rPr>
              <w:t>following</w:t>
            </w:r>
            <w:r w:rsidR="6A640EDB" w:rsidRPr="77E73048">
              <w:rPr>
                <w:rFonts w:eastAsia="Arial" w:cs="Arial"/>
              </w:rPr>
              <w:t xml:space="preserve"> consultation with the Director of Finance and the Portfolio Holders for Environment &amp; Community Safety and Finance &amp; Human Resources</w:t>
            </w:r>
            <w:r w:rsidRPr="77E73048">
              <w:rPr>
                <w:rFonts w:eastAsia="Arial" w:cs="Arial"/>
              </w:rPr>
              <w:t xml:space="preserve"> </w:t>
            </w:r>
            <w:r w:rsidR="694B3829" w:rsidRPr="77E73048">
              <w:rPr>
                <w:rFonts w:eastAsia="Arial" w:cs="Arial"/>
              </w:rPr>
              <w:t xml:space="preserve">to </w:t>
            </w:r>
            <w:r w:rsidRPr="77E73048">
              <w:rPr>
                <w:rFonts w:eastAsia="Arial" w:cs="Arial"/>
              </w:rPr>
              <w:t xml:space="preserve">extend the contract for each of the additional </w:t>
            </w:r>
            <w:bookmarkStart w:id="1" w:name="_Int_vkBx8RlK"/>
            <w:r w:rsidRPr="77E73048">
              <w:rPr>
                <w:rFonts w:eastAsia="Arial" w:cs="Arial"/>
              </w:rPr>
              <w:t>12 month</w:t>
            </w:r>
            <w:bookmarkEnd w:id="1"/>
            <w:r w:rsidRPr="77E73048">
              <w:rPr>
                <w:rFonts w:eastAsia="Arial" w:cs="Arial"/>
              </w:rPr>
              <w:t xml:space="preserve"> periods, which would follow a rigorous review of performance.</w:t>
            </w:r>
          </w:p>
          <w:p w14:paraId="4E34FBC4" w14:textId="77777777" w:rsidR="000E066F" w:rsidRDefault="000E066F" w:rsidP="005E69C7">
            <w:pPr>
              <w:pStyle w:val="ListParagraph"/>
              <w:rPr>
                <w:rFonts w:eastAsia="Arial" w:cs="Arial"/>
              </w:rPr>
            </w:pPr>
          </w:p>
          <w:p w14:paraId="59F0150B" w14:textId="677E7279" w:rsidR="007B1D66" w:rsidRDefault="1752FFDE" w:rsidP="007B1D66">
            <w:pPr>
              <w:pStyle w:val="ListParagraph"/>
              <w:rPr>
                <w:rFonts w:eastAsia="Arial" w:cs="Arial"/>
              </w:rPr>
            </w:pPr>
            <w:r w:rsidRPr="77E73048">
              <w:rPr>
                <w:rFonts w:eastAsia="Arial" w:cs="Arial"/>
              </w:rPr>
              <w:t xml:space="preserve">Delegate authority to </w:t>
            </w:r>
            <w:r w:rsidR="2246DF9D" w:rsidRPr="77E73048">
              <w:rPr>
                <w:rFonts w:eastAsia="Arial" w:cs="Arial"/>
              </w:rPr>
              <w:t xml:space="preserve">the Acting Corporate Director, Resources, in consultation with the Portfolio Holder for Environment &amp; Community Safety to </w:t>
            </w:r>
            <w:r w:rsidR="675EBD97" w:rsidRPr="77E73048">
              <w:rPr>
                <w:rFonts w:eastAsia="Arial" w:cs="Arial"/>
              </w:rPr>
              <w:t xml:space="preserve">allow any changes ahead of the final </w:t>
            </w:r>
            <w:r w:rsidR="02E9B4C2" w:rsidRPr="77E73048">
              <w:rPr>
                <w:rFonts w:eastAsia="Arial" w:cs="Arial"/>
              </w:rPr>
              <w:t xml:space="preserve">publication of the Invitation to Tender (ITT) </w:t>
            </w:r>
          </w:p>
          <w:p w14:paraId="78FA6D70" w14:textId="77777777" w:rsidR="00E75ABD" w:rsidRDefault="00E75ABD" w:rsidP="007B1D66">
            <w:pPr>
              <w:pStyle w:val="ListParagraph"/>
              <w:rPr>
                <w:rFonts w:eastAsia="Arial" w:cs="Arial"/>
              </w:rPr>
            </w:pPr>
          </w:p>
          <w:p w14:paraId="061365F9" w14:textId="294B20CE" w:rsidR="001C7E35" w:rsidRPr="00F06E4E" w:rsidRDefault="00E13BEF" w:rsidP="00E13BEF">
            <w:pPr>
              <w:pStyle w:val="Heading3"/>
              <w:ind w:left="0" w:firstLine="0"/>
              <w:jc w:val="left"/>
              <w:rPr>
                <w:color w:val="FF0000"/>
              </w:rPr>
            </w:pPr>
            <w:r>
              <w:t>Reason</w:t>
            </w:r>
            <w:r w:rsidR="00731850">
              <w:t>: (</w:t>
            </w:r>
            <w:r>
              <w:t>f</w:t>
            </w:r>
            <w:r w:rsidR="001C7E35" w:rsidRPr="00605A4C">
              <w:t>or recommendation</w:t>
            </w:r>
            <w:r w:rsidR="00714BEE" w:rsidRPr="00605A4C">
              <w:t>s</w:t>
            </w:r>
            <w:r w:rsidR="001C7E35" w:rsidRPr="00605A4C">
              <w:t>)</w:t>
            </w:r>
            <w:r w:rsidR="00F91AE4">
              <w:t xml:space="preserve"> </w:t>
            </w:r>
            <w:r w:rsidR="001C7E35">
              <w:t xml:space="preserve"> </w:t>
            </w:r>
          </w:p>
          <w:p w14:paraId="05DE9EA0" w14:textId="53C2BC75" w:rsidR="005900C6" w:rsidRPr="005900C6" w:rsidRDefault="005900C6" w:rsidP="2386F250">
            <w:pPr>
              <w:rPr>
                <w:lang w:val="en"/>
              </w:rPr>
            </w:pPr>
          </w:p>
          <w:p w14:paraId="3F990973" w14:textId="445FF001" w:rsidR="00333FAA" w:rsidRDefault="005900C6" w:rsidP="753AE1EB">
            <w:pPr>
              <w:rPr>
                <w:rFonts w:eastAsia="Arial" w:cs="Arial"/>
                <w:lang w:val="en"/>
              </w:rPr>
            </w:pPr>
            <w:r w:rsidRPr="753AE1EB">
              <w:rPr>
                <w:rFonts w:eastAsia="Arial" w:cs="Arial"/>
                <w:lang w:val="en"/>
              </w:rPr>
              <w:t>The combined value of the</w:t>
            </w:r>
            <w:r w:rsidR="00E83873" w:rsidRPr="753AE1EB">
              <w:rPr>
                <w:rFonts w:eastAsia="Arial" w:cs="Arial"/>
                <w:lang w:val="en"/>
              </w:rPr>
              <w:t xml:space="preserve"> two</w:t>
            </w:r>
            <w:r w:rsidRPr="753AE1EB">
              <w:rPr>
                <w:rFonts w:eastAsia="Arial" w:cs="Arial"/>
                <w:lang w:val="en"/>
              </w:rPr>
              <w:t xml:space="preserve"> contracts</w:t>
            </w:r>
            <w:r w:rsidR="00E83873" w:rsidRPr="753AE1EB">
              <w:rPr>
                <w:rFonts w:eastAsia="Arial" w:cs="Arial"/>
                <w:lang w:val="en"/>
              </w:rPr>
              <w:t xml:space="preserve"> to deliver the service</w:t>
            </w:r>
            <w:r w:rsidRPr="753AE1EB">
              <w:rPr>
                <w:rFonts w:eastAsia="Arial" w:cs="Arial"/>
                <w:lang w:val="en"/>
              </w:rPr>
              <w:t xml:space="preserve"> is in excess of £500,000. Therefore, Cabinet approval is required to re-procure the service. </w:t>
            </w:r>
          </w:p>
          <w:p w14:paraId="313BC81E" w14:textId="0EB7E356" w:rsidR="00253024" w:rsidRDefault="00253024" w:rsidP="00605A4C"/>
        </w:tc>
      </w:tr>
    </w:tbl>
    <w:p w14:paraId="0204F38A" w14:textId="77777777" w:rsidR="00333FAA" w:rsidRDefault="00333FAA" w:rsidP="00F06E4E">
      <w:pPr>
        <w:pStyle w:val="Heading2"/>
        <w:spacing w:before="480"/>
      </w:pPr>
      <w:r>
        <w:lastRenderedPageBreak/>
        <w:t>Section 2 – Report</w:t>
      </w:r>
    </w:p>
    <w:p w14:paraId="76168D48" w14:textId="77777777" w:rsidR="001C7E35" w:rsidRDefault="001C7E35" w:rsidP="00FC0FB5">
      <w:pPr>
        <w:pStyle w:val="Heading3"/>
        <w:spacing w:before="240"/>
        <w:ind w:left="0" w:firstLine="0"/>
      </w:pPr>
      <w:r>
        <w:t>Introductory paragraph</w:t>
      </w:r>
    </w:p>
    <w:p w14:paraId="7E80A245" w14:textId="137E35B4" w:rsidR="00B462AD" w:rsidRPr="00B462AD" w:rsidRDefault="00B462AD" w:rsidP="00C81D91">
      <w:pPr>
        <w:numPr>
          <w:ilvl w:val="1"/>
          <w:numId w:val="10"/>
        </w:numPr>
        <w:suppressAutoHyphens/>
        <w:autoSpaceDN w:val="0"/>
        <w:ind w:left="624" w:hanging="567"/>
        <w:jc w:val="both"/>
        <w:textAlignment w:val="baseline"/>
        <w:rPr>
          <w:rFonts w:eastAsia="Calibri" w:cs="Arial"/>
        </w:rPr>
      </w:pPr>
      <w:r w:rsidRPr="70A5ACE7">
        <w:rPr>
          <w:rFonts w:eastAsia="Calibri" w:cs="Arial"/>
        </w:rPr>
        <w:t xml:space="preserve">Harrow Council’s contract for domestic abuse services is due to expire in March 2023. This report sets out the rationale for splitting the Domestic Abuse service into two </w:t>
      </w:r>
      <w:r w:rsidR="008542DB" w:rsidRPr="70A5ACE7">
        <w:rPr>
          <w:rFonts w:eastAsia="Calibri" w:cs="Arial"/>
        </w:rPr>
        <w:t>Lots and</w:t>
      </w:r>
      <w:r w:rsidRPr="70A5ACE7">
        <w:rPr>
          <w:rFonts w:eastAsia="Calibri" w:cs="Arial"/>
        </w:rPr>
        <w:t xml:space="preserve"> inviting applications to tender for a contract to run the service. </w:t>
      </w:r>
      <w:r w:rsidR="00D5564B" w:rsidRPr="70A5ACE7">
        <w:rPr>
          <w:rFonts w:eastAsia="Calibri" w:cs="Arial"/>
        </w:rPr>
        <w:t>T</w:t>
      </w:r>
      <w:r w:rsidR="009F1810" w:rsidRPr="70A5ACE7">
        <w:rPr>
          <w:rFonts w:eastAsia="Calibri" w:cs="Arial"/>
        </w:rPr>
        <w:t xml:space="preserve">he </w:t>
      </w:r>
      <w:r w:rsidR="008F04D6" w:rsidRPr="70A5ACE7">
        <w:rPr>
          <w:rFonts w:eastAsia="Calibri" w:cs="Arial"/>
        </w:rPr>
        <w:t xml:space="preserve">total </w:t>
      </w:r>
      <w:r w:rsidR="009F1810" w:rsidRPr="70A5ACE7">
        <w:rPr>
          <w:rFonts w:eastAsia="Calibri" w:cs="Arial"/>
        </w:rPr>
        <w:t xml:space="preserve">available </w:t>
      </w:r>
      <w:r w:rsidR="00056A7E" w:rsidRPr="70A5ACE7">
        <w:rPr>
          <w:rFonts w:eastAsia="Calibri" w:cs="Arial"/>
        </w:rPr>
        <w:t xml:space="preserve">annual </w:t>
      </w:r>
      <w:r w:rsidR="009F1810" w:rsidRPr="70A5ACE7">
        <w:rPr>
          <w:rFonts w:eastAsia="Calibri" w:cs="Arial"/>
        </w:rPr>
        <w:t xml:space="preserve">budget for the </w:t>
      </w:r>
      <w:r w:rsidR="008F04D6" w:rsidRPr="70A5ACE7">
        <w:rPr>
          <w:rFonts w:eastAsia="Calibri" w:cs="Arial"/>
        </w:rPr>
        <w:t xml:space="preserve">new </w:t>
      </w:r>
      <w:r w:rsidR="002A1C41" w:rsidRPr="70A5ACE7">
        <w:rPr>
          <w:rFonts w:eastAsia="Calibri" w:cs="Arial"/>
        </w:rPr>
        <w:t>service</w:t>
      </w:r>
      <w:r w:rsidR="008F04D6" w:rsidRPr="70A5ACE7">
        <w:rPr>
          <w:rFonts w:eastAsia="Calibri" w:cs="Arial"/>
        </w:rPr>
        <w:t xml:space="preserve">, </w:t>
      </w:r>
      <w:r w:rsidR="008B3CF8" w:rsidRPr="70A5ACE7">
        <w:rPr>
          <w:rFonts w:eastAsia="Calibri" w:cs="Arial"/>
        </w:rPr>
        <w:t xml:space="preserve">£341,655, </w:t>
      </w:r>
      <w:r w:rsidR="008F04D6" w:rsidRPr="70A5ACE7">
        <w:rPr>
          <w:rFonts w:eastAsia="Calibri" w:cs="Arial"/>
        </w:rPr>
        <w:t>is the same</w:t>
      </w:r>
      <w:r w:rsidR="008B3CF8" w:rsidRPr="70A5ACE7">
        <w:rPr>
          <w:rFonts w:eastAsia="Calibri" w:cs="Arial"/>
        </w:rPr>
        <w:t xml:space="preserve"> as the current level.</w:t>
      </w:r>
    </w:p>
    <w:p w14:paraId="24ECD703" w14:textId="7CAE0544" w:rsidR="00AF14E1" w:rsidRDefault="00AF14E1" w:rsidP="001C7E35"/>
    <w:p w14:paraId="628F0D56" w14:textId="77777777" w:rsidR="00C55A46" w:rsidRPr="00C55A46" w:rsidRDefault="00C55A46" w:rsidP="00C81D91">
      <w:pPr>
        <w:numPr>
          <w:ilvl w:val="1"/>
          <w:numId w:val="11"/>
        </w:numPr>
        <w:suppressAutoHyphens/>
        <w:autoSpaceDN w:val="0"/>
        <w:ind w:left="567" w:hanging="567"/>
        <w:jc w:val="both"/>
        <w:textAlignment w:val="baseline"/>
        <w:rPr>
          <w:rFonts w:eastAsia="Calibri" w:cs="Arial"/>
          <w:szCs w:val="24"/>
        </w:rPr>
      </w:pPr>
      <w:r w:rsidRPr="00C55A46">
        <w:rPr>
          <w:rFonts w:eastAsia="Calibri" w:cs="Arial"/>
          <w:szCs w:val="24"/>
        </w:rPr>
        <w:t xml:space="preserve">The current service, which is provided by Hestia Housing and Support includes:  </w:t>
      </w:r>
    </w:p>
    <w:p w14:paraId="24FF7AF4" w14:textId="77777777" w:rsidR="00C55A46" w:rsidRPr="00C55A46" w:rsidRDefault="00C55A46" w:rsidP="00C55A46">
      <w:pPr>
        <w:suppressAutoHyphens/>
        <w:autoSpaceDE w:val="0"/>
        <w:autoSpaceDN w:val="0"/>
        <w:ind w:firstLine="567"/>
        <w:textAlignment w:val="baseline"/>
      </w:pPr>
      <w:r w:rsidRPr="00C55A46">
        <w:rPr>
          <w:rFonts w:cs="Arial"/>
          <w:b/>
          <w:bCs/>
          <w:i/>
          <w:iCs/>
          <w:szCs w:val="24"/>
        </w:rPr>
        <w:t>Community based support</w:t>
      </w:r>
      <w:r w:rsidRPr="00C55A46">
        <w:rPr>
          <w:rFonts w:cs="Arial"/>
          <w:szCs w:val="24"/>
        </w:rPr>
        <w:t xml:space="preserve"> consisting of:</w:t>
      </w:r>
    </w:p>
    <w:p w14:paraId="781CACE4" w14:textId="77777777" w:rsidR="00C55A46" w:rsidRPr="00C55A46" w:rsidRDefault="00C55A46" w:rsidP="00C55A46">
      <w:pPr>
        <w:suppressAutoHyphens/>
        <w:autoSpaceDE w:val="0"/>
        <w:autoSpaceDN w:val="0"/>
        <w:ind w:left="360" w:firstLine="360"/>
        <w:textAlignment w:val="baseline"/>
        <w:rPr>
          <w:rFonts w:eastAsia="Calibri" w:cs="Arial"/>
          <w:szCs w:val="24"/>
        </w:rPr>
      </w:pPr>
    </w:p>
    <w:p w14:paraId="7F21A740" w14:textId="5D87E2DF" w:rsidR="00C55A46" w:rsidRPr="00C55A46" w:rsidRDefault="00C55A46" w:rsidP="00C81D91">
      <w:pPr>
        <w:numPr>
          <w:ilvl w:val="0"/>
          <w:numId w:val="12"/>
        </w:numPr>
        <w:suppressAutoHyphens/>
        <w:autoSpaceDE w:val="0"/>
        <w:autoSpaceDN w:val="0"/>
        <w:jc w:val="both"/>
        <w:textAlignment w:val="baseline"/>
        <w:rPr>
          <w:rFonts w:eastAsia="Calibri" w:cs="Arial"/>
        </w:rPr>
      </w:pPr>
      <w:r w:rsidRPr="00C55A46">
        <w:rPr>
          <w:rFonts w:eastAsia="Calibri" w:cs="Arial"/>
          <w:szCs w:val="24"/>
        </w:rPr>
        <w:t xml:space="preserve">Two Full-time </w:t>
      </w:r>
      <w:bookmarkStart w:id="2" w:name="_Hlk91146975"/>
      <w:r w:rsidRPr="00C55A46">
        <w:rPr>
          <w:rFonts w:eastAsia="Calibri" w:cs="Arial"/>
          <w:szCs w:val="24"/>
        </w:rPr>
        <w:t>Independent Domestic Violence Advocates (IDVA)</w:t>
      </w:r>
      <w:bookmarkEnd w:id="2"/>
      <w:r w:rsidRPr="00C55A46">
        <w:rPr>
          <w:rFonts w:eastAsia="Calibri" w:cs="Arial"/>
          <w:szCs w:val="24"/>
        </w:rPr>
        <w:t xml:space="preserve">. </w:t>
      </w:r>
      <w:bookmarkStart w:id="3" w:name="_Hlk91147039"/>
      <w:r w:rsidRPr="00C55A46">
        <w:rPr>
          <w:rFonts w:eastAsia="Calibri" w:cs="Arial"/>
          <w:szCs w:val="24"/>
        </w:rPr>
        <w:t>These workers support victims assessed at high and medium risk of domestic abuse, helping to de-escalate and prevent further abuse and signposting them to other services.</w:t>
      </w:r>
      <w:bookmarkEnd w:id="3"/>
      <w:r w:rsidRPr="00C55A46">
        <w:rPr>
          <w:rFonts w:eastAsia="Calibri" w:cs="Arial"/>
          <w:szCs w:val="24"/>
        </w:rPr>
        <w:t xml:space="preserve"> </w:t>
      </w:r>
      <w:bookmarkStart w:id="4" w:name="_Hlk91147065"/>
      <w:r w:rsidRPr="00C55A46">
        <w:rPr>
          <w:rFonts w:eastAsia="Calibri" w:cs="Arial"/>
          <w:szCs w:val="24"/>
        </w:rPr>
        <w:t xml:space="preserve">The Community IDVA currently supports cases referred from Children Services, Adult Social Care, local </w:t>
      </w:r>
      <w:r w:rsidR="00706480">
        <w:rPr>
          <w:rFonts w:eastAsia="Calibri" w:cs="Arial"/>
          <w:szCs w:val="24"/>
        </w:rPr>
        <w:t>voluntary and community sector (VCS) organisations</w:t>
      </w:r>
      <w:r w:rsidRPr="00C55A46">
        <w:rPr>
          <w:rFonts w:eastAsia="Calibri" w:cs="Arial"/>
          <w:szCs w:val="24"/>
        </w:rPr>
        <w:t>, statutory and non-statutory providers, as well as self-referrals.</w:t>
      </w:r>
      <w:bookmarkEnd w:id="4"/>
      <w:r w:rsidRPr="00C55A46">
        <w:rPr>
          <w:rFonts w:eastAsia="Calibri" w:cs="Arial"/>
          <w:szCs w:val="24"/>
        </w:rPr>
        <w:t xml:space="preserve"> </w:t>
      </w:r>
      <w:bookmarkStart w:id="5" w:name="_Hlk91147088"/>
      <w:r w:rsidRPr="00C55A46">
        <w:rPr>
          <w:rFonts w:eastAsia="Calibri" w:cs="Arial"/>
          <w:szCs w:val="24"/>
        </w:rPr>
        <w:t xml:space="preserve">The Police IDVA works alongside colleagues and helps victims referred through the </w:t>
      </w:r>
      <w:r w:rsidR="004D06AF">
        <w:rPr>
          <w:rFonts w:eastAsia="Calibri" w:cs="Arial"/>
          <w:szCs w:val="24"/>
        </w:rPr>
        <w:t xml:space="preserve">Metropolitan Police’s </w:t>
      </w:r>
      <w:r w:rsidRPr="00C55A46">
        <w:rPr>
          <w:rFonts w:eastAsia="Calibri" w:cs="Arial"/>
          <w:szCs w:val="24"/>
        </w:rPr>
        <w:t>Community Safety Unit at Wembley Police station.</w:t>
      </w:r>
      <w:bookmarkEnd w:id="5"/>
    </w:p>
    <w:p w14:paraId="116297A6" w14:textId="77777777" w:rsidR="00C55A46" w:rsidRPr="00C55A46" w:rsidRDefault="00C55A46" w:rsidP="00C81D91">
      <w:pPr>
        <w:numPr>
          <w:ilvl w:val="0"/>
          <w:numId w:val="12"/>
        </w:numPr>
        <w:suppressAutoHyphens/>
        <w:autoSpaceDE w:val="0"/>
        <w:autoSpaceDN w:val="0"/>
        <w:spacing w:before="60" w:after="60"/>
        <w:jc w:val="both"/>
        <w:textAlignment w:val="baseline"/>
        <w:rPr>
          <w:rFonts w:eastAsia="Calibri" w:cs="Arial"/>
          <w:szCs w:val="24"/>
        </w:rPr>
      </w:pPr>
      <w:r w:rsidRPr="00C55A46">
        <w:rPr>
          <w:rFonts w:eastAsia="Calibri" w:cs="Arial"/>
          <w:szCs w:val="24"/>
        </w:rPr>
        <w:t>A case worker - providing continued support to clients that were assessed as high-risk at entry and stepped down to medium risk.</w:t>
      </w:r>
    </w:p>
    <w:p w14:paraId="0E606305" w14:textId="77777777" w:rsidR="00C55A46" w:rsidRPr="00C55A46" w:rsidRDefault="00C55A46" w:rsidP="00C81D91">
      <w:pPr>
        <w:numPr>
          <w:ilvl w:val="0"/>
          <w:numId w:val="12"/>
        </w:numPr>
        <w:suppressAutoHyphens/>
        <w:autoSpaceDE w:val="0"/>
        <w:autoSpaceDN w:val="0"/>
        <w:spacing w:before="60" w:after="60"/>
        <w:jc w:val="both"/>
        <w:textAlignment w:val="baseline"/>
        <w:rPr>
          <w:rFonts w:eastAsia="Calibri" w:cs="Arial"/>
          <w:szCs w:val="24"/>
        </w:rPr>
      </w:pPr>
      <w:r w:rsidRPr="00C55A46">
        <w:rPr>
          <w:rFonts w:eastAsia="Calibri" w:cs="Arial"/>
          <w:szCs w:val="24"/>
        </w:rPr>
        <w:t>Safety planning within the Multi-Agency Safeguarding Hub (MASH), within Children’s Services for victims and families presenting with domestic abuse.</w:t>
      </w:r>
    </w:p>
    <w:p w14:paraId="22C374A2" w14:textId="77777777" w:rsidR="00C55A46" w:rsidRPr="00C55A46" w:rsidRDefault="00C55A46" w:rsidP="00C81D91">
      <w:pPr>
        <w:numPr>
          <w:ilvl w:val="0"/>
          <w:numId w:val="12"/>
        </w:numPr>
        <w:suppressAutoHyphens/>
        <w:autoSpaceDE w:val="0"/>
        <w:autoSpaceDN w:val="0"/>
        <w:spacing w:before="60" w:after="60"/>
        <w:jc w:val="both"/>
        <w:textAlignment w:val="baseline"/>
        <w:rPr>
          <w:rFonts w:eastAsia="Calibri" w:cs="Arial"/>
        </w:rPr>
      </w:pPr>
      <w:bookmarkStart w:id="6" w:name="_Hlk91161875"/>
      <w:r w:rsidRPr="00C55A46">
        <w:rPr>
          <w:rFonts w:eastAsia="Calibri" w:cs="Arial"/>
          <w:szCs w:val="24"/>
        </w:rPr>
        <w:t>Coordination of the borough’s Multi-Agency Risk Conference (MARAC</w:t>
      </w:r>
      <w:bookmarkEnd w:id="6"/>
      <w:r w:rsidRPr="00C55A46">
        <w:rPr>
          <w:rFonts w:eastAsia="Calibri" w:cs="Arial"/>
          <w:szCs w:val="24"/>
        </w:rPr>
        <w:t>)</w:t>
      </w:r>
      <w:r w:rsidRPr="00C55A46">
        <w:rPr>
          <w:rFonts w:eastAsia="Calibri" w:cs="Arial"/>
          <w:szCs w:val="24"/>
          <w:vertAlign w:val="superscript"/>
        </w:rPr>
        <w:footnoteReference w:id="2"/>
      </w:r>
      <w:r w:rsidRPr="00C55A46">
        <w:rPr>
          <w:rFonts w:eastAsia="Calibri" w:cs="Arial"/>
          <w:szCs w:val="24"/>
        </w:rPr>
        <w:t xml:space="preserve">, which reviews cases of abuse </w:t>
      </w:r>
      <w:bookmarkStart w:id="7" w:name="_Hlk91161925"/>
      <w:r w:rsidRPr="00C55A46">
        <w:rPr>
          <w:rFonts w:eastAsia="Calibri" w:cs="Arial"/>
          <w:szCs w:val="24"/>
        </w:rPr>
        <w:t>assessed as high-risk and secures input and support from statutory and non-statutory partners, to ensure the victim’s safety.</w:t>
      </w:r>
      <w:bookmarkEnd w:id="7"/>
    </w:p>
    <w:p w14:paraId="1DA675AD" w14:textId="77777777" w:rsidR="00C55A46" w:rsidRPr="00C55A46" w:rsidRDefault="00C55A46" w:rsidP="00C81D91">
      <w:pPr>
        <w:numPr>
          <w:ilvl w:val="0"/>
          <w:numId w:val="12"/>
        </w:numPr>
        <w:suppressAutoHyphens/>
        <w:autoSpaceDE w:val="0"/>
        <w:autoSpaceDN w:val="0"/>
        <w:spacing w:before="60" w:after="60"/>
        <w:jc w:val="both"/>
        <w:textAlignment w:val="baseline"/>
        <w:rPr>
          <w:rFonts w:eastAsia="Calibri" w:cs="Arial"/>
        </w:rPr>
      </w:pPr>
      <w:r w:rsidRPr="00C55A46">
        <w:rPr>
          <w:rFonts w:eastAsia="Calibri" w:cs="Arial"/>
        </w:rPr>
        <w:t>Senior IDVA (located in the MASH)</w:t>
      </w:r>
    </w:p>
    <w:p w14:paraId="15FD230D" w14:textId="77777777" w:rsidR="00C55A46" w:rsidRPr="00C55A46" w:rsidRDefault="00C55A46" w:rsidP="00C55A46">
      <w:pPr>
        <w:suppressAutoHyphens/>
        <w:autoSpaceDE w:val="0"/>
        <w:autoSpaceDN w:val="0"/>
        <w:spacing w:before="60" w:after="60"/>
        <w:jc w:val="both"/>
        <w:textAlignment w:val="baseline"/>
      </w:pPr>
    </w:p>
    <w:p w14:paraId="2B365BDA" w14:textId="77777777" w:rsidR="00C55A46" w:rsidRPr="00C55A46" w:rsidRDefault="00C55A46" w:rsidP="00C55A46">
      <w:pPr>
        <w:tabs>
          <w:tab w:val="left" w:pos="284"/>
        </w:tabs>
        <w:suppressAutoHyphens/>
        <w:autoSpaceDE w:val="0"/>
        <w:autoSpaceDN w:val="0"/>
        <w:ind w:left="644"/>
        <w:jc w:val="both"/>
        <w:textAlignment w:val="baseline"/>
        <w:rPr>
          <w:rFonts w:eastAsia="Calibri" w:cs="Arial"/>
        </w:rPr>
      </w:pPr>
      <w:r w:rsidRPr="00C55A46">
        <w:rPr>
          <w:rFonts w:eastAsia="Calibri" w:cs="Arial"/>
          <w:b/>
          <w:bCs/>
          <w:i/>
          <w:iCs/>
          <w:szCs w:val="24"/>
        </w:rPr>
        <w:t>Support within safe accommodation</w:t>
      </w:r>
      <w:r w:rsidRPr="00C55A46">
        <w:rPr>
          <w:rFonts w:eastAsia="Calibri" w:cs="Arial"/>
          <w:i/>
          <w:iCs/>
          <w:szCs w:val="24"/>
        </w:rPr>
        <w:t xml:space="preserve"> consisting of</w:t>
      </w:r>
      <w:r w:rsidRPr="00C55A46">
        <w:rPr>
          <w:rFonts w:eastAsia="Calibri" w:cs="Arial"/>
          <w:szCs w:val="24"/>
        </w:rPr>
        <w:t>:</w:t>
      </w:r>
    </w:p>
    <w:p w14:paraId="5F6E8187" w14:textId="77777777" w:rsidR="00C55A46" w:rsidRPr="00C55A46" w:rsidRDefault="00C55A46" w:rsidP="00C55A46">
      <w:pPr>
        <w:tabs>
          <w:tab w:val="left" w:pos="284"/>
        </w:tabs>
        <w:suppressAutoHyphens/>
        <w:autoSpaceDE w:val="0"/>
        <w:autoSpaceDN w:val="0"/>
        <w:jc w:val="both"/>
        <w:textAlignment w:val="baseline"/>
        <w:rPr>
          <w:rFonts w:eastAsia="Calibri" w:cs="Arial"/>
          <w:szCs w:val="24"/>
        </w:rPr>
      </w:pPr>
    </w:p>
    <w:p w14:paraId="2D6BEEE3" w14:textId="77777777" w:rsidR="00C55A46" w:rsidRPr="00C55A46" w:rsidRDefault="00C55A46" w:rsidP="00C81D91">
      <w:pPr>
        <w:numPr>
          <w:ilvl w:val="0"/>
          <w:numId w:val="13"/>
        </w:numPr>
        <w:suppressAutoHyphens/>
        <w:autoSpaceDE w:val="0"/>
        <w:autoSpaceDN w:val="0"/>
        <w:ind w:left="1004"/>
        <w:jc w:val="both"/>
        <w:textAlignment w:val="baseline"/>
        <w:rPr>
          <w:rFonts w:eastAsia="Calibri" w:cs="Arial"/>
        </w:rPr>
      </w:pPr>
      <w:bookmarkStart w:id="8" w:name="_Hlk91165893"/>
      <w:r w:rsidRPr="00C55A46">
        <w:rPr>
          <w:rFonts w:eastAsia="Calibri" w:cs="Arial"/>
          <w:szCs w:val="24"/>
        </w:rPr>
        <w:t>A 6-bed refuge - accommodating up to 12 victims and their families per year and managed by one full-time refuge worker to provide wrap-around support and advice to victims and their children</w:t>
      </w:r>
      <w:bookmarkEnd w:id="8"/>
      <w:r w:rsidRPr="00C55A46">
        <w:rPr>
          <w:rFonts w:eastAsia="Calibri" w:cs="Arial"/>
          <w:szCs w:val="24"/>
        </w:rPr>
        <w:t xml:space="preserve">. </w:t>
      </w:r>
    </w:p>
    <w:p w14:paraId="20B841F3" w14:textId="77777777" w:rsidR="00C55A46" w:rsidRPr="00C55A46" w:rsidRDefault="00C55A46" w:rsidP="00C55A46">
      <w:pPr>
        <w:suppressAutoHyphens/>
        <w:autoSpaceDE w:val="0"/>
        <w:autoSpaceDN w:val="0"/>
        <w:jc w:val="both"/>
        <w:textAlignment w:val="baseline"/>
      </w:pPr>
    </w:p>
    <w:p w14:paraId="57C6C5B1" w14:textId="77777777" w:rsidR="00C55A46" w:rsidRPr="00C55A46" w:rsidRDefault="00C55A46" w:rsidP="00C81D91">
      <w:pPr>
        <w:numPr>
          <w:ilvl w:val="0"/>
          <w:numId w:val="13"/>
        </w:numPr>
        <w:suppressAutoHyphens/>
        <w:autoSpaceDE w:val="0"/>
        <w:autoSpaceDN w:val="0"/>
        <w:ind w:left="1004"/>
        <w:jc w:val="both"/>
        <w:textAlignment w:val="baseline"/>
        <w:rPr>
          <w:rFonts w:eastAsia="Calibri" w:cs="Arial"/>
          <w:szCs w:val="24"/>
        </w:rPr>
      </w:pPr>
      <w:r w:rsidRPr="00C55A46">
        <w:rPr>
          <w:rFonts w:eastAsia="Calibri" w:cs="Arial"/>
          <w:szCs w:val="24"/>
        </w:rPr>
        <w:t xml:space="preserve">A </w:t>
      </w:r>
      <w:bookmarkStart w:id="9" w:name="_Hlk91165978"/>
      <w:r w:rsidRPr="00C55A46">
        <w:rPr>
          <w:rFonts w:eastAsia="Calibri" w:cs="Arial"/>
          <w:szCs w:val="24"/>
        </w:rPr>
        <w:t>Floating Support worker - providing housing and tenancy related advice and emotional support, to help prevent homelessness</w:t>
      </w:r>
      <w:bookmarkEnd w:id="9"/>
      <w:r w:rsidRPr="00C55A46">
        <w:rPr>
          <w:rFonts w:eastAsia="Calibri" w:cs="Arial"/>
          <w:szCs w:val="24"/>
        </w:rPr>
        <w:t>.</w:t>
      </w:r>
    </w:p>
    <w:p w14:paraId="7F9AFCE6" w14:textId="77777777" w:rsidR="00C55A46" w:rsidRPr="00C55A46" w:rsidRDefault="00C55A46" w:rsidP="00C55A46">
      <w:pPr>
        <w:suppressAutoHyphens/>
        <w:autoSpaceDE w:val="0"/>
        <w:autoSpaceDN w:val="0"/>
        <w:jc w:val="both"/>
        <w:textAlignment w:val="baseline"/>
        <w:rPr>
          <w:szCs w:val="24"/>
        </w:rPr>
      </w:pPr>
    </w:p>
    <w:p w14:paraId="57142115" w14:textId="0E834A38" w:rsidR="00C55A46" w:rsidRPr="00C55A46" w:rsidRDefault="00C55A46" w:rsidP="00B561D5">
      <w:pPr>
        <w:numPr>
          <w:ilvl w:val="1"/>
          <w:numId w:val="11"/>
        </w:numPr>
        <w:tabs>
          <w:tab w:val="left" w:pos="567"/>
        </w:tabs>
        <w:suppressAutoHyphens/>
        <w:autoSpaceDE w:val="0"/>
        <w:autoSpaceDN w:val="0"/>
        <w:ind w:left="567" w:hanging="567"/>
        <w:jc w:val="both"/>
        <w:textAlignment w:val="baseline"/>
        <w:rPr>
          <w:rFonts w:eastAsia="Calibri" w:cs="Arial"/>
          <w:szCs w:val="24"/>
        </w:rPr>
      </w:pPr>
      <w:r w:rsidRPr="00C55A46">
        <w:rPr>
          <w:rFonts w:eastAsia="Calibri" w:cs="Arial"/>
          <w:szCs w:val="24"/>
        </w:rPr>
        <w:t xml:space="preserve">The service works in tandem with and signposts victims to other services provided by Council departments and/or externally, through the voluntary and community sector. </w:t>
      </w:r>
    </w:p>
    <w:p w14:paraId="2BA565BD" w14:textId="5D92AEDD" w:rsidR="00C55A46" w:rsidRPr="00C55A46" w:rsidRDefault="00C55A46" w:rsidP="00B561D5">
      <w:pPr>
        <w:numPr>
          <w:ilvl w:val="1"/>
          <w:numId w:val="11"/>
        </w:numPr>
        <w:tabs>
          <w:tab w:val="left" w:pos="567"/>
        </w:tabs>
        <w:suppressAutoHyphens/>
        <w:autoSpaceDE w:val="0"/>
        <w:autoSpaceDN w:val="0"/>
        <w:ind w:left="567" w:hanging="567"/>
        <w:jc w:val="both"/>
        <w:textAlignment w:val="baseline"/>
        <w:rPr>
          <w:rFonts w:eastAsia="Calibri" w:cs="Arial"/>
          <w:szCs w:val="24"/>
        </w:rPr>
      </w:pPr>
      <w:r w:rsidRPr="00C55A46">
        <w:rPr>
          <w:rFonts w:eastAsia="Calibri" w:cs="Arial"/>
          <w:szCs w:val="24"/>
        </w:rPr>
        <w:lastRenderedPageBreak/>
        <w:t xml:space="preserve">The service was </w:t>
      </w:r>
      <w:r w:rsidR="00D7108F">
        <w:rPr>
          <w:rFonts w:eastAsia="Calibri" w:cs="Arial"/>
          <w:szCs w:val="24"/>
        </w:rPr>
        <w:t>last</w:t>
      </w:r>
      <w:r w:rsidR="00D7108F" w:rsidRPr="00C55A46">
        <w:rPr>
          <w:rFonts w:eastAsia="Calibri" w:cs="Arial"/>
          <w:szCs w:val="24"/>
        </w:rPr>
        <w:t xml:space="preserve"> </w:t>
      </w:r>
      <w:r w:rsidRPr="00C55A46">
        <w:rPr>
          <w:rFonts w:eastAsia="Calibri" w:cs="Arial"/>
          <w:szCs w:val="24"/>
        </w:rPr>
        <w:t xml:space="preserve">competitively commissioned in late 2015, for a contract period of four years (two years with the option to extend for a further two years to 2019 which has been exercised). </w:t>
      </w:r>
      <w:r w:rsidR="002813A6">
        <w:rPr>
          <w:rFonts w:eastAsia="Calibri" w:cs="Arial"/>
          <w:szCs w:val="24"/>
        </w:rPr>
        <w:t xml:space="preserve">In late 2019 </w:t>
      </w:r>
      <w:r w:rsidR="00F90252">
        <w:rPr>
          <w:rFonts w:eastAsia="Calibri" w:cs="Arial"/>
          <w:szCs w:val="24"/>
        </w:rPr>
        <w:t>a direct award under waiver was made</w:t>
      </w:r>
      <w:r w:rsidR="00382659">
        <w:rPr>
          <w:rFonts w:eastAsia="Calibri" w:cs="Arial"/>
          <w:szCs w:val="24"/>
        </w:rPr>
        <w:t xml:space="preserve"> </w:t>
      </w:r>
      <w:r w:rsidR="00566741">
        <w:rPr>
          <w:rFonts w:eastAsia="Calibri" w:cs="Arial"/>
          <w:szCs w:val="24"/>
        </w:rPr>
        <w:t xml:space="preserve">due to uncertainty </w:t>
      </w:r>
      <w:r w:rsidR="008A1CE8">
        <w:rPr>
          <w:rFonts w:eastAsia="Calibri" w:cs="Arial"/>
          <w:szCs w:val="24"/>
        </w:rPr>
        <w:t xml:space="preserve">of the availability of future funding. </w:t>
      </w:r>
      <w:r w:rsidR="00214E3C">
        <w:rPr>
          <w:rFonts w:eastAsia="Calibri" w:cs="Arial"/>
          <w:szCs w:val="24"/>
        </w:rPr>
        <w:t>This award expired in August 2021.</w:t>
      </w:r>
    </w:p>
    <w:p w14:paraId="033CD496" w14:textId="77777777" w:rsidR="00C55A46" w:rsidRPr="00C55A46" w:rsidRDefault="00C55A46" w:rsidP="00C55A46">
      <w:pPr>
        <w:suppressAutoHyphens/>
        <w:autoSpaceDN w:val="0"/>
        <w:ind w:left="720"/>
        <w:textAlignment w:val="baseline"/>
        <w:rPr>
          <w:rFonts w:eastAsia="Calibri" w:cs="Arial"/>
          <w:szCs w:val="24"/>
        </w:rPr>
      </w:pPr>
    </w:p>
    <w:p w14:paraId="4FB43890" w14:textId="77777777" w:rsidR="00C55A46" w:rsidRPr="00C55A46" w:rsidRDefault="00C55A46" w:rsidP="00C81D91">
      <w:pPr>
        <w:numPr>
          <w:ilvl w:val="1"/>
          <w:numId w:val="11"/>
        </w:numPr>
        <w:suppressAutoHyphens/>
        <w:autoSpaceDE w:val="0"/>
        <w:autoSpaceDN w:val="0"/>
        <w:ind w:left="567" w:hanging="643"/>
        <w:jc w:val="both"/>
        <w:textAlignment w:val="baseline"/>
        <w:rPr>
          <w:rFonts w:eastAsia="Calibri" w:cs="Arial"/>
          <w:szCs w:val="24"/>
        </w:rPr>
      </w:pPr>
      <w:r w:rsidRPr="00C55A46">
        <w:rPr>
          <w:rFonts w:eastAsia="Calibri" w:cs="Arial"/>
          <w:szCs w:val="24"/>
        </w:rPr>
        <w:t>A cross-departmental project group comprising representatives and budget holders from People Services, Harrow Safeguarding Adults and Safeguarding Children Board, Public Health, Housing, Policy and Procurement, was originally set up in Spring 2020 to review the service, and re-design the service model for a new procurement process.</w:t>
      </w:r>
    </w:p>
    <w:p w14:paraId="4FEABD63" w14:textId="77777777" w:rsidR="00C55A46" w:rsidRPr="00C55A46" w:rsidRDefault="00C55A46" w:rsidP="00C55A46">
      <w:pPr>
        <w:suppressAutoHyphens/>
        <w:autoSpaceDN w:val="0"/>
        <w:ind w:left="720"/>
        <w:textAlignment w:val="baseline"/>
        <w:rPr>
          <w:rFonts w:eastAsia="Calibri" w:cs="Arial"/>
          <w:szCs w:val="24"/>
        </w:rPr>
      </w:pPr>
    </w:p>
    <w:p w14:paraId="7B705DF8" w14:textId="1BA547EC" w:rsidR="00C55A46" w:rsidRPr="00C55A46" w:rsidRDefault="00C55A46" w:rsidP="00C81D91">
      <w:pPr>
        <w:numPr>
          <w:ilvl w:val="1"/>
          <w:numId w:val="11"/>
        </w:numPr>
        <w:suppressAutoHyphens/>
        <w:autoSpaceDE w:val="0"/>
        <w:autoSpaceDN w:val="0"/>
        <w:ind w:left="567" w:hanging="567"/>
        <w:jc w:val="both"/>
        <w:textAlignment w:val="baseline"/>
        <w:rPr>
          <w:rFonts w:eastAsia="Calibri" w:cs="Arial"/>
        </w:rPr>
      </w:pPr>
      <w:r w:rsidRPr="00C55A46">
        <w:rPr>
          <w:rFonts w:eastAsia="Calibri" w:cs="Arial"/>
          <w:szCs w:val="24"/>
        </w:rPr>
        <w:t xml:space="preserve">Due to impacts on the capacity of the Council and partners as a result of the Covid-19 Pandemic, the original timeline for re-procurement was impacted and pushed back. In tandem with the new Domestic Abuse Act coming live in April 2021, it became increasingly difficult to ascertain what domestic abuse services the Council would be responsible for commissioning. </w:t>
      </w:r>
      <w:r w:rsidR="00931CB9">
        <w:rPr>
          <w:rFonts w:eastAsia="Calibri" w:cs="Arial"/>
          <w:szCs w:val="24"/>
        </w:rPr>
        <w:t>The cross</w:t>
      </w:r>
      <w:r w:rsidR="0072196F">
        <w:rPr>
          <w:rFonts w:eastAsia="Calibri" w:cs="Arial"/>
          <w:szCs w:val="24"/>
        </w:rPr>
        <w:t xml:space="preserve">-departmental project group recommended that a direct award </w:t>
      </w:r>
      <w:r w:rsidR="005A379C">
        <w:rPr>
          <w:rFonts w:eastAsia="Calibri" w:cs="Arial"/>
          <w:szCs w:val="24"/>
        </w:rPr>
        <w:t xml:space="preserve">of contract </w:t>
      </w:r>
      <w:r w:rsidR="0072196F">
        <w:rPr>
          <w:rFonts w:eastAsia="Calibri" w:cs="Arial"/>
          <w:szCs w:val="24"/>
        </w:rPr>
        <w:t>be</w:t>
      </w:r>
      <w:r w:rsidR="005A379C">
        <w:rPr>
          <w:rFonts w:eastAsia="Calibri" w:cs="Arial"/>
          <w:szCs w:val="24"/>
        </w:rPr>
        <w:t xml:space="preserve"> made and this </w:t>
      </w:r>
      <w:r w:rsidRPr="00C55A46">
        <w:rPr>
          <w:rFonts w:eastAsia="Calibri" w:cs="Arial"/>
          <w:szCs w:val="24"/>
        </w:rPr>
        <w:t>was adopted</w:t>
      </w:r>
      <w:r w:rsidR="005D43F5">
        <w:rPr>
          <w:rFonts w:eastAsia="Calibri" w:cs="Arial"/>
          <w:szCs w:val="24"/>
        </w:rPr>
        <w:t xml:space="preserve"> by Cabinet in July 2021</w:t>
      </w:r>
      <w:r w:rsidRPr="00C55A46">
        <w:rPr>
          <w:rFonts w:eastAsia="Calibri" w:cs="Arial"/>
          <w:szCs w:val="24"/>
        </w:rPr>
        <w:t>, with the period of the award timed to allow for a re-design of the service specification, following the full understanding of the implications of the Domestic Abuse Act.</w:t>
      </w:r>
    </w:p>
    <w:p w14:paraId="20D1FF96" w14:textId="77777777" w:rsidR="00C55A46" w:rsidRPr="00C55A46" w:rsidRDefault="00C55A46" w:rsidP="00C55A46">
      <w:pPr>
        <w:suppressAutoHyphens/>
        <w:autoSpaceDN w:val="0"/>
        <w:ind w:left="720"/>
        <w:textAlignment w:val="baseline"/>
        <w:rPr>
          <w:rFonts w:eastAsia="Calibri" w:cs="Arial"/>
        </w:rPr>
      </w:pPr>
    </w:p>
    <w:p w14:paraId="3346E726" w14:textId="77777777" w:rsidR="00C55A46" w:rsidRPr="00C55A46" w:rsidRDefault="00C55A46" w:rsidP="00C81D91">
      <w:pPr>
        <w:numPr>
          <w:ilvl w:val="1"/>
          <w:numId w:val="11"/>
        </w:numPr>
        <w:suppressAutoHyphens/>
        <w:autoSpaceDE w:val="0"/>
        <w:autoSpaceDN w:val="0"/>
        <w:ind w:left="567" w:hanging="567"/>
        <w:jc w:val="both"/>
        <w:textAlignment w:val="baseline"/>
        <w:rPr>
          <w:rFonts w:eastAsia="Calibri" w:cs="Arial"/>
        </w:rPr>
      </w:pPr>
      <w:r w:rsidRPr="00C55A46">
        <w:rPr>
          <w:rFonts w:eastAsia="Calibri" w:cs="Arial"/>
        </w:rPr>
        <w:t>The cross-departmental project group was reconvened in Spring 2022 to inform the process.</w:t>
      </w:r>
    </w:p>
    <w:p w14:paraId="421E657C" w14:textId="77777777" w:rsidR="00C55A46" w:rsidRPr="00C55A46" w:rsidRDefault="00C55A46" w:rsidP="00C55A46">
      <w:pPr>
        <w:suppressAutoHyphens/>
        <w:autoSpaceDN w:val="0"/>
        <w:ind w:left="720"/>
        <w:textAlignment w:val="baseline"/>
        <w:rPr>
          <w:rFonts w:eastAsia="Calibri" w:cs="Arial"/>
        </w:rPr>
      </w:pPr>
    </w:p>
    <w:p w14:paraId="0FDD63CB" w14:textId="18F0942E" w:rsidR="0065073B" w:rsidRDefault="00C55A46" w:rsidP="00C81D91">
      <w:pPr>
        <w:numPr>
          <w:ilvl w:val="1"/>
          <w:numId w:val="11"/>
        </w:numPr>
        <w:suppressAutoHyphens/>
        <w:autoSpaceDE w:val="0"/>
        <w:autoSpaceDN w:val="0"/>
        <w:ind w:left="567" w:hanging="567"/>
        <w:jc w:val="both"/>
        <w:textAlignment w:val="baseline"/>
        <w:rPr>
          <w:rFonts w:eastAsia="Calibri" w:cs="Arial"/>
        </w:rPr>
      </w:pPr>
      <w:r w:rsidRPr="00C55A46">
        <w:rPr>
          <w:rFonts w:eastAsia="Calibri" w:cs="Arial"/>
        </w:rPr>
        <w:t xml:space="preserve">Consideration has been given to the need for Early Intervention and what this would look like in terms of service delivery. </w:t>
      </w:r>
      <w:r w:rsidR="00B271C0">
        <w:rPr>
          <w:rFonts w:eastAsia="Calibri" w:cs="Arial"/>
        </w:rPr>
        <w:t xml:space="preserve">There are </w:t>
      </w:r>
      <w:r w:rsidR="00AC474D">
        <w:rPr>
          <w:rFonts w:eastAsia="Calibri" w:cs="Arial"/>
        </w:rPr>
        <w:t xml:space="preserve">programmes available which would address some of the gaps in available support but would require an increasing in the available funding. </w:t>
      </w:r>
      <w:r w:rsidR="0086557F">
        <w:rPr>
          <w:rFonts w:eastAsia="Calibri" w:cs="Arial"/>
        </w:rPr>
        <w:t xml:space="preserve">However, the </w:t>
      </w:r>
      <w:r w:rsidR="008C4049">
        <w:rPr>
          <w:rFonts w:eastAsia="Calibri" w:cs="Arial"/>
        </w:rPr>
        <w:t xml:space="preserve">recommendations in this report are fully funded by the current financial envelope. </w:t>
      </w:r>
    </w:p>
    <w:p w14:paraId="3B4A206A" w14:textId="77777777" w:rsidR="0065073B" w:rsidRDefault="0065073B" w:rsidP="0024041E">
      <w:pPr>
        <w:pStyle w:val="ListParagraph"/>
        <w:rPr>
          <w:rFonts w:eastAsia="Calibri" w:cs="Arial"/>
        </w:rPr>
      </w:pPr>
    </w:p>
    <w:p w14:paraId="5E1091DE" w14:textId="5031913A" w:rsidR="0065073B" w:rsidRDefault="008C4049" w:rsidP="00C81D91">
      <w:pPr>
        <w:numPr>
          <w:ilvl w:val="1"/>
          <w:numId w:val="11"/>
        </w:numPr>
        <w:suppressAutoHyphens/>
        <w:autoSpaceDE w:val="0"/>
        <w:autoSpaceDN w:val="0"/>
        <w:ind w:left="567" w:hanging="567"/>
        <w:jc w:val="both"/>
        <w:textAlignment w:val="baseline"/>
        <w:rPr>
          <w:rFonts w:eastAsia="Calibri" w:cs="Arial"/>
        </w:rPr>
      </w:pPr>
      <w:r>
        <w:rPr>
          <w:rFonts w:eastAsia="Calibri" w:cs="Arial"/>
        </w:rPr>
        <w:t>As an example, p</w:t>
      </w:r>
      <w:r w:rsidR="008004D2">
        <w:rPr>
          <w:rFonts w:eastAsia="Calibri" w:cs="Arial"/>
        </w:rPr>
        <w:t xml:space="preserve">erpetrator behaviour programmes have </w:t>
      </w:r>
      <w:r w:rsidR="00535464">
        <w:rPr>
          <w:rFonts w:eastAsia="Calibri" w:cs="Arial"/>
        </w:rPr>
        <w:t xml:space="preserve">the potential to </w:t>
      </w:r>
      <w:r w:rsidR="006A6350">
        <w:rPr>
          <w:rFonts w:eastAsia="Calibri" w:cs="Arial"/>
        </w:rPr>
        <w:t xml:space="preserve">be a cost-effective way of </w:t>
      </w:r>
      <w:r w:rsidR="006166C2">
        <w:rPr>
          <w:rFonts w:eastAsia="Calibri" w:cs="Arial"/>
        </w:rPr>
        <w:t xml:space="preserve">reducing offending, with research showing </w:t>
      </w:r>
      <w:r w:rsidR="003E7FF2" w:rsidRPr="003E7FF2">
        <w:rPr>
          <w:rFonts w:eastAsia="Calibri" w:cs="Arial"/>
        </w:rPr>
        <w:t>a reduction in repeat offending across various forms of abuse by 70-88%, with</w:t>
      </w:r>
      <w:r w:rsidR="08CCF6A1" w:rsidRPr="003E7FF2">
        <w:rPr>
          <w:rFonts w:eastAsia="Calibri" w:cs="Arial"/>
        </w:rPr>
        <w:t xml:space="preserve"> Independent Domestic Violence Advocates</w:t>
      </w:r>
      <w:r w:rsidR="003E7FF2" w:rsidRPr="003E7FF2">
        <w:rPr>
          <w:rFonts w:eastAsia="Calibri" w:cs="Arial"/>
        </w:rPr>
        <w:t xml:space="preserve"> IDVAs reporting a reduction in risk to victims by 82%.</w:t>
      </w:r>
      <w:r w:rsidR="00B87036">
        <w:rPr>
          <w:rStyle w:val="FootnoteReference"/>
          <w:rFonts w:eastAsia="Calibri" w:cs="Arial"/>
        </w:rPr>
        <w:footnoteReference w:id="3"/>
      </w:r>
      <w:r w:rsidR="00475C52">
        <w:rPr>
          <w:rFonts w:eastAsia="Calibri" w:cs="Arial"/>
        </w:rPr>
        <w:t xml:space="preserve"> </w:t>
      </w:r>
      <w:r w:rsidR="00475C52" w:rsidRPr="00475C52">
        <w:rPr>
          <w:rFonts w:eastAsia="Calibri" w:cs="Arial"/>
        </w:rPr>
        <w:t>Stakeholders had previously identified the need for interventions at all risk levels in Harrow – ranging from support for low level conflict, through to intensive work with high-risk perpetrators.</w:t>
      </w:r>
      <w:r w:rsidR="00BE7ED3">
        <w:rPr>
          <w:rFonts w:eastAsia="Calibri" w:cs="Arial"/>
        </w:rPr>
        <w:t xml:space="preserve"> </w:t>
      </w:r>
      <w:r w:rsidR="00BE7ED3" w:rsidRPr="00BE7ED3">
        <w:rPr>
          <w:rFonts w:eastAsia="Calibri" w:cs="Arial"/>
        </w:rPr>
        <w:t>Both Barnet and Brent Councils have commissioned Rise Mutual to provide perpetrator programmes for their boroughs. In 2019, Brent Council commissioned Rise</w:t>
      </w:r>
      <w:r w:rsidR="005E14A1">
        <w:rPr>
          <w:rFonts w:eastAsia="Calibri" w:cs="Arial"/>
        </w:rPr>
        <w:t xml:space="preserve"> Mutual</w:t>
      </w:r>
      <w:r w:rsidR="00BE7ED3" w:rsidRPr="00BE7ED3">
        <w:rPr>
          <w:rFonts w:eastAsia="Calibri" w:cs="Arial"/>
        </w:rPr>
        <w:t xml:space="preserve"> to deliver its programme over two years, at a cost of £200,000, supporting a total of 190 perpetrators and partners, through a combination of group therapy and 1:1 support.</w:t>
      </w:r>
      <w:r w:rsidR="00BE7ED3">
        <w:rPr>
          <w:rFonts w:eastAsia="Calibri" w:cs="Arial"/>
        </w:rPr>
        <w:t xml:space="preserve"> Previous research </w:t>
      </w:r>
      <w:r w:rsidR="000D25F5" w:rsidRPr="000D25F5">
        <w:rPr>
          <w:rFonts w:eastAsia="Calibri" w:cs="Arial"/>
        </w:rPr>
        <w:t>into the costs of a perpetrator programme have been estimated at between £1000</w:t>
      </w:r>
      <w:r w:rsidR="00C14ED8">
        <w:rPr>
          <w:rFonts w:eastAsia="Calibri" w:cs="Arial"/>
        </w:rPr>
        <w:t xml:space="preserve"> </w:t>
      </w:r>
      <w:r w:rsidR="000D25F5" w:rsidRPr="000D25F5">
        <w:rPr>
          <w:rFonts w:eastAsia="Calibri" w:cs="Arial"/>
        </w:rPr>
        <w:t>- 3000 per perpetrator</w:t>
      </w:r>
      <w:r w:rsidR="000D25F5">
        <w:rPr>
          <w:rFonts w:eastAsia="Calibri" w:cs="Arial"/>
        </w:rPr>
        <w:t xml:space="preserve">. </w:t>
      </w:r>
      <w:r w:rsidR="00D02BA8" w:rsidRPr="00D02BA8">
        <w:rPr>
          <w:rFonts w:eastAsia="Calibri" w:cs="Arial"/>
        </w:rPr>
        <w:t>Opportunities to jointly commission services with North West</w:t>
      </w:r>
      <w:r w:rsidR="3B1AA812" w:rsidRPr="00D02BA8">
        <w:rPr>
          <w:rFonts w:eastAsia="Calibri" w:cs="Arial"/>
        </w:rPr>
        <w:t xml:space="preserve"> Borough Command Unit</w:t>
      </w:r>
      <w:r w:rsidR="00D02BA8" w:rsidRPr="00D02BA8">
        <w:rPr>
          <w:rFonts w:eastAsia="Calibri" w:cs="Arial"/>
        </w:rPr>
        <w:t xml:space="preserve"> BCU borough partners may provide some efficiencies and could be explored further</w:t>
      </w:r>
      <w:r w:rsidR="005E14A1">
        <w:rPr>
          <w:rFonts w:eastAsia="Calibri" w:cs="Arial"/>
        </w:rPr>
        <w:t xml:space="preserve"> (subject to additional </w:t>
      </w:r>
      <w:r w:rsidR="001B2728">
        <w:rPr>
          <w:rFonts w:eastAsia="Calibri" w:cs="Arial"/>
        </w:rPr>
        <w:t>funding being secured)</w:t>
      </w:r>
      <w:r w:rsidR="00D02BA8">
        <w:rPr>
          <w:rFonts w:eastAsia="Calibri" w:cs="Arial"/>
        </w:rPr>
        <w:t>.</w:t>
      </w:r>
      <w:r w:rsidR="004012B4">
        <w:rPr>
          <w:rFonts w:eastAsia="Calibri" w:cs="Arial"/>
        </w:rPr>
        <w:t xml:space="preserve"> </w:t>
      </w:r>
    </w:p>
    <w:p w14:paraId="2328273B" w14:textId="02D13F7F" w:rsidR="00C55A46" w:rsidRPr="00C55A46" w:rsidRDefault="006334D9" w:rsidP="00C81D91">
      <w:pPr>
        <w:numPr>
          <w:ilvl w:val="1"/>
          <w:numId w:val="11"/>
        </w:numPr>
        <w:suppressAutoHyphens/>
        <w:autoSpaceDE w:val="0"/>
        <w:autoSpaceDN w:val="0"/>
        <w:ind w:left="567" w:hanging="567"/>
        <w:jc w:val="both"/>
        <w:textAlignment w:val="baseline"/>
        <w:rPr>
          <w:rFonts w:eastAsia="Calibri" w:cs="Arial"/>
        </w:rPr>
      </w:pPr>
      <w:r>
        <w:rPr>
          <w:rFonts w:eastAsia="Calibri" w:cs="Arial"/>
        </w:rPr>
        <w:lastRenderedPageBreak/>
        <w:t>T</w:t>
      </w:r>
      <w:r w:rsidR="004012B4">
        <w:rPr>
          <w:rFonts w:eastAsia="Calibri" w:cs="Arial"/>
        </w:rPr>
        <w:t xml:space="preserve">rauma therapy for adults and children </w:t>
      </w:r>
      <w:r w:rsidR="00BC1A62">
        <w:rPr>
          <w:rFonts w:eastAsia="Calibri" w:cs="Arial"/>
        </w:rPr>
        <w:t xml:space="preserve">was </w:t>
      </w:r>
      <w:r w:rsidR="00345243">
        <w:rPr>
          <w:rFonts w:eastAsia="Calibri" w:cs="Arial"/>
        </w:rPr>
        <w:t>previously identified as a gap in support.</w:t>
      </w:r>
      <w:r w:rsidR="001C0413">
        <w:rPr>
          <w:rFonts w:eastAsia="Calibri" w:cs="Arial"/>
        </w:rPr>
        <w:t xml:space="preserve"> </w:t>
      </w:r>
      <w:r w:rsidR="002D3118">
        <w:rPr>
          <w:rFonts w:eastAsia="Calibri" w:cs="Arial"/>
        </w:rPr>
        <w:t xml:space="preserve">The Drive Project </w:t>
      </w:r>
      <w:r w:rsidR="00DE7560">
        <w:rPr>
          <w:rFonts w:eastAsia="Calibri" w:cs="Arial"/>
        </w:rPr>
        <w:t xml:space="preserve">is an innovative response to domestic abuse that aims to reduce the number of child and adult victims by disrupting </w:t>
      </w:r>
      <w:r w:rsidR="00AF08F9">
        <w:rPr>
          <w:rFonts w:eastAsia="Calibri" w:cs="Arial"/>
        </w:rPr>
        <w:t xml:space="preserve">and changing perpetrator behaviour. </w:t>
      </w:r>
      <w:r w:rsidR="00AA66D6" w:rsidRPr="00AA66D6">
        <w:rPr>
          <w:rFonts w:eastAsia="Calibri" w:cs="Arial"/>
        </w:rPr>
        <w:t>Drive focuses on priority (high-risk, high-harm and/or serial) perpetrators, as this group carries the greatest risk of serious harm, and engagement with available services is low.</w:t>
      </w:r>
      <w:r w:rsidR="00AA66D6">
        <w:rPr>
          <w:rStyle w:val="FootnoteReference"/>
          <w:rFonts w:eastAsia="Calibri" w:cs="Arial"/>
        </w:rPr>
        <w:footnoteReference w:id="4"/>
      </w:r>
      <w:r w:rsidR="00AA66D6" w:rsidRPr="00AA66D6">
        <w:rPr>
          <w:rFonts w:eastAsia="Calibri" w:cs="Arial"/>
        </w:rPr>
        <w:t xml:space="preserve"> </w:t>
      </w:r>
      <w:r w:rsidR="001C0413" w:rsidRPr="001C0413">
        <w:rPr>
          <w:rFonts w:eastAsia="Calibri" w:cs="Arial"/>
        </w:rPr>
        <w:t xml:space="preserve">The Drive Project evaluation report cited average unit costs of </w:t>
      </w:r>
      <w:r w:rsidR="00CF39CF">
        <w:rPr>
          <w:rFonts w:eastAsia="Calibri" w:cs="Arial"/>
        </w:rPr>
        <w:t>Cognitive Behavioural Therapy (CBT)</w:t>
      </w:r>
      <w:r w:rsidR="001C0413" w:rsidRPr="001C0413">
        <w:rPr>
          <w:rFonts w:eastAsia="Calibri" w:cs="Arial"/>
        </w:rPr>
        <w:t>/Counselling support for victims of abuse at £112 per hour. The recommended minimum number of sessions required to support adult victims would be in the region of 8-12, depending on severity of the trauma, which would cost in the region of between £900 - £1500</w:t>
      </w:r>
      <w:r w:rsidR="001C0413">
        <w:rPr>
          <w:rFonts w:eastAsia="Calibri" w:cs="Arial"/>
        </w:rPr>
        <w:t xml:space="preserve">. </w:t>
      </w:r>
      <w:r w:rsidR="00430E60" w:rsidRPr="00430E60">
        <w:rPr>
          <w:rFonts w:eastAsia="Calibri" w:cs="Arial"/>
        </w:rPr>
        <w:t xml:space="preserve">Discussions with </w:t>
      </w:r>
      <w:r w:rsidR="001E0002">
        <w:rPr>
          <w:rFonts w:eastAsia="Calibri" w:cs="Arial"/>
        </w:rPr>
        <w:t xml:space="preserve">Central </w:t>
      </w:r>
      <w:r w:rsidR="005B53AF">
        <w:rPr>
          <w:rFonts w:eastAsia="Calibri" w:cs="Arial"/>
        </w:rPr>
        <w:t>and North West London NHS Foundation Trust (</w:t>
      </w:r>
      <w:r w:rsidR="00430E60" w:rsidRPr="00430E60">
        <w:rPr>
          <w:rFonts w:eastAsia="Calibri" w:cs="Arial"/>
        </w:rPr>
        <w:t>CNWL</w:t>
      </w:r>
      <w:r w:rsidR="005B53AF">
        <w:rPr>
          <w:rFonts w:eastAsia="Calibri" w:cs="Arial"/>
        </w:rPr>
        <w:t>)</w:t>
      </w:r>
      <w:r w:rsidR="00430E60" w:rsidRPr="00430E60">
        <w:rPr>
          <w:rFonts w:eastAsia="Calibri" w:cs="Arial"/>
        </w:rPr>
        <w:t xml:space="preserve"> commissioners to explore/review demand for trauma services within the borough could influence future decision–making around the provision of such services.</w:t>
      </w:r>
    </w:p>
    <w:p w14:paraId="5675CC76" w14:textId="77777777" w:rsidR="00C55A46" w:rsidRPr="00C55A46" w:rsidRDefault="00C55A46" w:rsidP="00C55A46">
      <w:pPr>
        <w:suppressAutoHyphens/>
        <w:autoSpaceDN w:val="0"/>
        <w:ind w:left="720"/>
        <w:textAlignment w:val="baseline"/>
        <w:rPr>
          <w:rFonts w:eastAsia="Calibri" w:cs="Arial"/>
        </w:rPr>
      </w:pPr>
    </w:p>
    <w:p w14:paraId="0031B665" w14:textId="2A7C535B" w:rsidR="00C55A46" w:rsidRDefault="004521D4" w:rsidP="00C81D91">
      <w:pPr>
        <w:numPr>
          <w:ilvl w:val="1"/>
          <w:numId w:val="11"/>
        </w:numPr>
        <w:suppressAutoHyphens/>
        <w:autoSpaceDE w:val="0"/>
        <w:autoSpaceDN w:val="0"/>
        <w:ind w:left="567" w:hanging="567"/>
        <w:jc w:val="both"/>
        <w:textAlignment w:val="baseline"/>
        <w:rPr>
          <w:rFonts w:eastAsia="Calibri" w:cs="Arial"/>
        </w:rPr>
      </w:pPr>
      <w:r w:rsidRPr="70A5ACE7">
        <w:rPr>
          <w:rFonts w:eastAsia="Calibri" w:cs="Arial"/>
        </w:rPr>
        <w:t xml:space="preserve">Given the </w:t>
      </w:r>
      <w:r w:rsidR="007D579B" w:rsidRPr="70A5ACE7">
        <w:rPr>
          <w:rFonts w:eastAsia="Calibri" w:cs="Arial"/>
        </w:rPr>
        <w:t xml:space="preserve">evidence base </w:t>
      </w:r>
      <w:r w:rsidR="00035525" w:rsidRPr="70A5ACE7">
        <w:rPr>
          <w:rFonts w:eastAsia="Calibri" w:cs="Arial"/>
        </w:rPr>
        <w:t xml:space="preserve">on the impact of </w:t>
      </w:r>
      <w:r w:rsidRPr="70A5ACE7">
        <w:rPr>
          <w:rFonts w:eastAsia="Calibri" w:cs="Arial"/>
        </w:rPr>
        <w:t xml:space="preserve">early intervention </w:t>
      </w:r>
      <w:r w:rsidR="007D579B" w:rsidRPr="70A5ACE7">
        <w:rPr>
          <w:rFonts w:eastAsia="Calibri" w:cs="Arial"/>
        </w:rPr>
        <w:t>offers, t</w:t>
      </w:r>
      <w:r w:rsidR="00C55A46" w:rsidRPr="70A5ACE7">
        <w:rPr>
          <w:rFonts w:eastAsia="Calibri" w:cs="Arial"/>
        </w:rPr>
        <w:t xml:space="preserve">he procurement process should include the ability to enhance the service on offer. It </w:t>
      </w:r>
      <w:r w:rsidR="00035525" w:rsidRPr="70A5ACE7">
        <w:rPr>
          <w:rFonts w:eastAsia="Calibri" w:cs="Arial"/>
        </w:rPr>
        <w:t xml:space="preserve">would </w:t>
      </w:r>
      <w:r w:rsidRPr="70A5ACE7">
        <w:rPr>
          <w:rFonts w:eastAsia="Calibri" w:cs="Arial"/>
        </w:rPr>
        <w:t xml:space="preserve">therefore </w:t>
      </w:r>
      <w:r w:rsidR="00035525" w:rsidRPr="70A5ACE7">
        <w:rPr>
          <w:rFonts w:eastAsia="Calibri" w:cs="Arial"/>
        </w:rPr>
        <w:t xml:space="preserve">be </w:t>
      </w:r>
      <w:r w:rsidR="00C55A46" w:rsidRPr="70A5ACE7">
        <w:rPr>
          <w:rFonts w:eastAsia="Calibri" w:cs="Arial"/>
        </w:rPr>
        <w:t xml:space="preserve">our intention to use successful bidders to deliver perpetrator programmes subject to funding being found, be it Council or external funding. </w:t>
      </w:r>
      <w:r w:rsidR="00847B84" w:rsidRPr="70A5ACE7">
        <w:rPr>
          <w:rFonts w:eastAsia="Calibri" w:cs="Arial"/>
        </w:rPr>
        <w:t xml:space="preserve">We are therefore including these options explicitly within the ITT, even though at this stage we are clear that the funding does not exist to support these enhancements. </w:t>
      </w:r>
      <w:r w:rsidR="00C55A46" w:rsidRPr="70A5ACE7">
        <w:rPr>
          <w:rFonts w:eastAsia="Calibri" w:cs="Arial"/>
        </w:rPr>
        <w:t>This will then allow us to move forward to full procurement without precluding any options to support our future direction of travel</w:t>
      </w:r>
      <w:r w:rsidR="00847B84" w:rsidRPr="70A5ACE7">
        <w:rPr>
          <w:rFonts w:eastAsia="Calibri" w:cs="Arial"/>
        </w:rPr>
        <w:t xml:space="preserve">, but at the same time indicate to the </w:t>
      </w:r>
      <w:r w:rsidR="00F97E10" w:rsidRPr="70A5ACE7">
        <w:rPr>
          <w:rFonts w:eastAsia="Calibri" w:cs="Arial"/>
        </w:rPr>
        <w:t xml:space="preserve">market that </w:t>
      </w:r>
      <w:r w:rsidR="00304062" w:rsidRPr="70A5ACE7">
        <w:rPr>
          <w:rFonts w:eastAsia="Calibri" w:cs="Arial"/>
        </w:rPr>
        <w:t xml:space="preserve">the successful bidder would also be able </w:t>
      </w:r>
      <w:r w:rsidR="00032A7E" w:rsidRPr="70A5ACE7">
        <w:rPr>
          <w:rFonts w:eastAsia="Calibri" w:cs="Arial"/>
        </w:rPr>
        <w:t xml:space="preserve">to </w:t>
      </w:r>
      <w:r w:rsidR="006E79EA" w:rsidRPr="70A5ACE7">
        <w:rPr>
          <w:rFonts w:eastAsia="Calibri" w:cs="Arial"/>
        </w:rPr>
        <w:t xml:space="preserve">partner on new initiatives without going </w:t>
      </w:r>
      <w:r w:rsidR="00394966" w:rsidRPr="70A5ACE7">
        <w:rPr>
          <w:rFonts w:eastAsia="Calibri" w:cs="Arial"/>
        </w:rPr>
        <w:t>back through a full procurement programme of work</w:t>
      </w:r>
      <w:r w:rsidR="003E5F64" w:rsidRPr="70A5ACE7">
        <w:rPr>
          <w:rFonts w:eastAsia="Calibri" w:cs="Arial"/>
        </w:rPr>
        <w:t>.</w:t>
      </w:r>
      <w:r w:rsidR="001B2233" w:rsidRPr="70A5ACE7">
        <w:rPr>
          <w:rFonts w:eastAsia="Calibri" w:cs="Arial"/>
        </w:rPr>
        <w:t xml:space="preserve"> </w:t>
      </w:r>
    </w:p>
    <w:p w14:paraId="1B2F21DD" w14:textId="77777777" w:rsidR="005E2F51" w:rsidRDefault="005E2F51" w:rsidP="005E2F51">
      <w:pPr>
        <w:pStyle w:val="ListParagraph"/>
        <w:rPr>
          <w:rFonts w:eastAsia="Calibri" w:cs="Arial"/>
        </w:rPr>
      </w:pPr>
    </w:p>
    <w:p w14:paraId="213D0918" w14:textId="11668EC3" w:rsidR="00A40487" w:rsidRDefault="00727B69" w:rsidP="002535A8">
      <w:pPr>
        <w:numPr>
          <w:ilvl w:val="1"/>
          <w:numId w:val="11"/>
        </w:numPr>
        <w:suppressAutoHyphens/>
        <w:autoSpaceDE w:val="0"/>
        <w:autoSpaceDN w:val="0"/>
        <w:ind w:left="567" w:hanging="567"/>
        <w:jc w:val="both"/>
        <w:textAlignment w:val="baseline"/>
        <w:rPr>
          <w:rFonts w:eastAsia="Calibri" w:cs="Arial"/>
        </w:rPr>
      </w:pPr>
      <w:r w:rsidRPr="00B71245">
        <w:rPr>
          <w:rFonts w:eastAsia="Calibri" w:cs="Arial"/>
        </w:rPr>
        <w:t>I</w:t>
      </w:r>
      <w:r w:rsidR="005E2F51" w:rsidRPr="00B71245">
        <w:rPr>
          <w:rFonts w:eastAsia="Calibri" w:cs="Arial"/>
        </w:rPr>
        <w:t>n addition to the Domestic Abuse service provided by Hestia Housing and Support and funded through Harrow Council, the</w:t>
      </w:r>
      <w:r w:rsidR="00A40487" w:rsidRPr="00B71245">
        <w:rPr>
          <w:rFonts w:eastAsia="Calibri" w:cs="Arial"/>
        </w:rPr>
        <w:t xml:space="preserve"> following </w:t>
      </w:r>
      <w:r w:rsidR="005E2F51" w:rsidRPr="00B71245">
        <w:rPr>
          <w:rFonts w:eastAsia="Calibri" w:cs="Arial"/>
        </w:rPr>
        <w:t xml:space="preserve">are resources funded wholly by external bodies which support </w:t>
      </w:r>
      <w:r w:rsidR="003D6184" w:rsidRPr="00B71245">
        <w:rPr>
          <w:rFonts w:eastAsia="Calibri" w:cs="Arial"/>
        </w:rPr>
        <w:t xml:space="preserve">victims </w:t>
      </w:r>
      <w:r w:rsidR="005E2F51" w:rsidRPr="00B71245">
        <w:rPr>
          <w:rFonts w:eastAsia="Calibri" w:cs="Arial"/>
        </w:rPr>
        <w:t>of domestic abuse.</w:t>
      </w:r>
      <w:r w:rsidR="005E2F51" w:rsidRPr="005E2F51">
        <w:rPr>
          <w:rFonts w:eastAsia="Calibri" w:cs="Arial"/>
        </w:rPr>
        <w:t xml:space="preserve"> </w:t>
      </w:r>
    </w:p>
    <w:p w14:paraId="3D92AF2B" w14:textId="77777777" w:rsidR="00A40487" w:rsidRDefault="00A40487" w:rsidP="00A40487">
      <w:pPr>
        <w:pStyle w:val="ListParagraph"/>
        <w:rPr>
          <w:rFonts w:eastAsia="Calibri" w:cs="Arial"/>
        </w:rPr>
      </w:pPr>
    </w:p>
    <w:p w14:paraId="3FCBE0A5" w14:textId="77777777" w:rsidR="00ED7BB0" w:rsidRPr="00086D6E" w:rsidRDefault="005E2F51" w:rsidP="00086D6E">
      <w:pPr>
        <w:pStyle w:val="ListParagraph"/>
        <w:numPr>
          <w:ilvl w:val="0"/>
          <w:numId w:val="32"/>
        </w:numPr>
        <w:suppressAutoHyphens/>
        <w:autoSpaceDE w:val="0"/>
        <w:autoSpaceDN w:val="0"/>
        <w:ind w:left="993"/>
        <w:jc w:val="both"/>
        <w:textAlignment w:val="baseline"/>
        <w:rPr>
          <w:rFonts w:eastAsia="Calibri" w:cs="Arial"/>
        </w:rPr>
      </w:pPr>
      <w:r w:rsidRPr="00086D6E">
        <w:rPr>
          <w:rFonts w:eastAsia="Calibri" w:cs="Arial"/>
        </w:rPr>
        <w:t>The Mayor’s Office for Policing and Crime (MOPAC) funds an Independent Domestic Violence Advocate (IDVA) resource, shared with Barnet and Brent Councils and co-located at Wembley Police Station and at Northwick Park Hospital. This IDVA resource equates to 0.66 full-time Equivalent (FTE)</w:t>
      </w:r>
      <w:r w:rsidRPr="00A97D73">
        <w:rPr>
          <w:rFonts w:eastAsia="Calibri"/>
          <w:vertAlign w:val="superscript"/>
        </w:rPr>
        <w:footnoteReference w:id="5"/>
      </w:r>
      <w:r w:rsidRPr="00086D6E">
        <w:rPr>
          <w:rFonts w:eastAsia="Calibri" w:cs="Arial"/>
        </w:rPr>
        <w:t xml:space="preserve"> workers per borough. As a result there is a total IDVA resource available within Harrow at present is 2.66 FTE. </w:t>
      </w:r>
    </w:p>
    <w:p w14:paraId="0B75E64C" w14:textId="77777777" w:rsidR="00ED7BB0" w:rsidRDefault="00ED7BB0" w:rsidP="00ED7BB0">
      <w:pPr>
        <w:pStyle w:val="ListParagraph"/>
        <w:rPr>
          <w:rFonts w:eastAsia="Calibri" w:cs="Arial"/>
        </w:rPr>
      </w:pPr>
    </w:p>
    <w:p w14:paraId="0B5A2A9D" w14:textId="77777777" w:rsidR="00630D6E" w:rsidRDefault="00ED7BB0" w:rsidP="00086D6E">
      <w:pPr>
        <w:pStyle w:val="ListParagraph"/>
        <w:numPr>
          <w:ilvl w:val="0"/>
          <w:numId w:val="32"/>
        </w:numPr>
        <w:suppressAutoHyphens/>
        <w:autoSpaceDE w:val="0"/>
        <w:autoSpaceDN w:val="0"/>
        <w:ind w:left="993"/>
        <w:jc w:val="both"/>
        <w:textAlignment w:val="baseline"/>
        <w:rPr>
          <w:rFonts w:eastAsia="Calibri" w:cs="Arial"/>
        </w:rPr>
      </w:pPr>
      <w:r w:rsidRPr="00086D6E">
        <w:rPr>
          <w:rFonts w:eastAsia="Calibri" w:cs="Arial"/>
        </w:rPr>
        <w:t>A</w:t>
      </w:r>
      <w:r w:rsidR="005E2F51" w:rsidRPr="00086D6E">
        <w:rPr>
          <w:rFonts w:eastAsia="Calibri" w:cs="Arial"/>
        </w:rPr>
        <w:t xml:space="preserve"> complex needs service – funded through the Department for Levelling Up, Housing and Communities (DLUCH) and under a separate contract - </w:t>
      </w:r>
      <w:r w:rsidRPr="00086D6E">
        <w:rPr>
          <w:rFonts w:eastAsia="Calibri" w:cs="Arial"/>
        </w:rPr>
        <w:t xml:space="preserve">provides </w:t>
      </w:r>
      <w:r w:rsidR="005363AF" w:rsidRPr="00086D6E">
        <w:rPr>
          <w:rFonts w:eastAsia="Calibri" w:cs="Arial"/>
        </w:rPr>
        <w:t xml:space="preserve">specialist emotional and practical support to </w:t>
      </w:r>
      <w:r w:rsidR="005E2F51" w:rsidRPr="00086D6E">
        <w:rPr>
          <w:rFonts w:eastAsia="Calibri" w:cs="Arial"/>
        </w:rPr>
        <w:t xml:space="preserve">domestic abuse </w:t>
      </w:r>
      <w:r w:rsidR="00046884" w:rsidRPr="00086D6E">
        <w:rPr>
          <w:rFonts w:eastAsia="Calibri" w:cs="Arial"/>
        </w:rPr>
        <w:t xml:space="preserve">victims </w:t>
      </w:r>
      <w:r w:rsidR="005E2F51" w:rsidRPr="00086D6E">
        <w:rPr>
          <w:rFonts w:eastAsia="Calibri" w:cs="Arial"/>
        </w:rPr>
        <w:t>who present with mental health</w:t>
      </w:r>
      <w:r w:rsidR="00FA6978" w:rsidRPr="00086D6E">
        <w:rPr>
          <w:rFonts w:eastAsia="Calibri" w:cs="Arial"/>
        </w:rPr>
        <w:t xml:space="preserve">, </w:t>
      </w:r>
      <w:r w:rsidR="005E2F51" w:rsidRPr="00086D6E">
        <w:rPr>
          <w:rFonts w:eastAsia="Calibri" w:cs="Arial"/>
        </w:rPr>
        <w:t>substance misuse and insecure housing</w:t>
      </w:r>
      <w:r w:rsidR="00FA6978" w:rsidRPr="00086D6E">
        <w:rPr>
          <w:rFonts w:eastAsia="Calibri" w:cs="Arial"/>
        </w:rPr>
        <w:t xml:space="preserve"> issues.</w:t>
      </w:r>
    </w:p>
    <w:p w14:paraId="38FB4913" w14:textId="7151EC8A" w:rsidR="005E2F51" w:rsidRPr="00086D6E" w:rsidRDefault="00F75BD6" w:rsidP="00086D6E">
      <w:pPr>
        <w:pStyle w:val="ListParagraph"/>
        <w:numPr>
          <w:ilvl w:val="0"/>
          <w:numId w:val="32"/>
        </w:numPr>
        <w:suppressAutoHyphens/>
        <w:autoSpaceDE w:val="0"/>
        <w:autoSpaceDN w:val="0"/>
        <w:ind w:left="993"/>
        <w:jc w:val="both"/>
        <w:textAlignment w:val="baseline"/>
        <w:rPr>
          <w:rFonts w:eastAsia="Calibri" w:cs="Arial"/>
        </w:rPr>
      </w:pPr>
      <w:r>
        <w:rPr>
          <w:rFonts w:eastAsia="Calibri" w:cs="Arial"/>
        </w:rPr>
        <w:lastRenderedPageBreak/>
        <w:t>T</w:t>
      </w:r>
      <w:r w:rsidR="00E61C4F">
        <w:rPr>
          <w:rFonts w:eastAsia="Calibri" w:cs="Arial"/>
        </w:rPr>
        <w:t xml:space="preserve">here are </w:t>
      </w:r>
      <w:r>
        <w:rPr>
          <w:rFonts w:eastAsia="Calibri" w:cs="Arial"/>
        </w:rPr>
        <w:t xml:space="preserve">additional </w:t>
      </w:r>
      <w:r w:rsidR="00F260F7">
        <w:rPr>
          <w:rFonts w:eastAsia="Calibri" w:cs="Arial"/>
        </w:rPr>
        <w:t xml:space="preserve">domestic abuse </w:t>
      </w:r>
      <w:r w:rsidR="008B0581">
        <w:rPr>
          <w:rFonts w:eastAsia="Calibri" w:cs="Arial"/>
        </w:rPr>
        <w:t xml:space="preserve">services </w:t>
      </w:r>
      <w:r w:rsidR="00DD1643">
        <w:rPr>
          <w:rFonts w:eastAsia="Calibri" w:cs="Arial"/>
        </w:rPr>
        <w:t>covering</w:t>
      </w:r>
      <w:r w:rsidR="006E20CA">
        <w:rPr>
          <w:rFonts w:eastAsia="Calibri" w:cs="Arial"/>
        </w:rPr>
        <w:t xml:space="preserve"> </w:t>
      </w:r>
      <w:r w:rsidR="00DD1643">
        <w:rPr>
          <w:rFonts w:eastAsia="Calibri" w:cs="Arial"/>
        </w:rPr>
        <w:t>the borough</w:t>
      </w:r>
      <w:r>
        <w:rPr>
          <w:rFonts w:eastAsia="Calibri" w:cs="Arial"/>
        </w:rPr>
        <w:t xml:space="preserve"> </w:t>
      </w:r>
      <w:r w:rsidR="00F724AB">
        <w:rPr>
          <w:rFonts w:eastAsia="Calibri" w:cs="Arial"/>
        </w:rPr>
        <w:t>commissioned by London Councils</w:t>
      </w:r>
      <w:r w:rsidR="00DD1643">
        <w:rPr>
          <w:rFonts w:eastAsia="Calibri" w:cs="Arial"/>
        </w:rPr>
        <w:t xml:space="preserve">. </w:t>
      </w:r>
      <w:r w:rsidR="00022108">
        <w:rPr>
          <w:rFonts w:eastAsia="Calibri" w:cs="Arial"/>
        </w:rPr>
        <w:t>These are Advance</w:t>
      </w:r>
      <w:r w:rsidR="00973267">
        <w:rPr>
          <w:rFonts w:eastAsia="Calibri" w:cs="Arial"/>
        </w:rPr>
        <w:t xml:space="preserve">; </w:t>
      </w:r>
      <w:r w:rsidR="00F50B14">
        <w:rPr>
          <w:rFonts w:eastAsia="Calibri" w:cs="Arial"/>
        </w:rPr>
        <w:t xml:space="preserve">the Asian Women’s Resource Centre; </w:t>
      </w:r>
      <w:r w:rsidR="00145733">
        <w:rPr>
          <w:rFonts w:eastAsia="Calibri" w:cs="Arial"/>
        </w:rPr>
        <w:t>the London VAWG consortium (</w:t>
      </w:r>
      <w:r w:rsidR="006B5EFD">
        <w:rPr>
          <w:rFonts w:eastAsia="Calibri" w:cs="Arial"/>
        </w:rPr>
        <w:t xml:space="preserve">with Advance the lead partner in Harrow); and </w:t>
      </w:r>
      <w:r w:rsidR="002568D6">
        <w:rPr>
          <w:rFonts w:eastAsia="Calibri" w:cs="Arial"/>
        </w:rPr>
        <w:t>EACH Counselling</w:t>
      </w:r>
      <w:r w:rsidR="002316B8">
        <w:rPr>
          <w:rFonts w:eastAsia="Calibri" w:cs="Arial"/>
        </w:rPr>
        <w:t>.</w:t>
      </w:r>
      <w:r>
        <w:rPr>
          <w:rFonts w:eastAsia="Calibri" w:cs="Arial"/>
        </w:rPr>
        <w:t xml:space="preserve"> </w:t>
      </w:r>
      <w:r w:rsidR="00FA6978" w:rsidRPr="00086D6E">
        <w:rPr>
          <w:rFonts w:eastAsia="Calibri" w:cs="Arial"/>
        </w:rPr>
        <w:t xml:space="preserve"> </w:t>
      </w:r>
    </w:p>
    <w:p w14:paraId="0A078380" w14:textId="051469A3" w:rsidR="00AD1E77" w:rsidRDefault="001C7E35" w:rsidP="00272FA7">
      <w:pPr>
        <w:pStyle w:val="Heading3"/>
        <w:spacing w:before="240"/>
        <w:ind w:left="0" w:firstLine="0"/>
        <w:jc w:val="left"/>
      </w:pPr>
      <w:r>
        <w:t xml:space="preserve">  Options considered  </w:t>
      </w:r>
    </w:p>
    <w:p w14:paraId="60A968CE" w14:textId="77777777" w:rsidR="00EE13A5" w:rsidRPr="00EE13A5" w:rsidRDefault="00EE13A5" w:rsidP="00EE13A5">
      <w:pPr>
        <w:suppressAutoHyphens/>
        <w:autoSpaceDN w:val="0"/>
        <w:jc w:val="both"/>
        <w:textAlignment w:val="baseline"/>
        <w:rPr>
          <w:rFonts w:eastAsia="Calibri" w:cs="Arial"/>
        </w:rPr>
      </w:pPr>
    </w:p>
    <w:p w14:paraId="341C39C7" w14:textId="645309BC" w:rsidR="00C81D91" w:rsidRPr="00C81D91" w:rsidRDefault="00C81D91" w:rsidP="00C81D91">
      <w:pPr>
        <w:numPr>
          <w:ilvl w:val="1"/>
          <w:numId w:val="14"/>
        </w:numPr>
        <w:suppressAutoHyphens/>
        <w:autoSpaceDN w:val="0"/>
        <w:ind w:hanging="588"/>
        <w:jc w:val="both"/>
        <w:textAlignment w:val="baseline"/>
        <w:rPr>
          <w:rFonts w:eastAsia="Calibri" w:cs="Arial"/>
        </w:rPr>
      </w:pPr>
      <w:r w:rsidRPr="00C81D91">
        <w:rPr>
          <w:rFonts w:eastAsia="Calibri" w:cs="Arial"/>
          <w:b/>
          <w:szCs w:val="24"/>
        </w:rPr>
        <w:t>Option 1</w:t>
      </w:r>
      <w:r w:rsidRPr="00C81D91">
        <w:rPr>
          <w:rFonts w:eastAsia="Calibri" w:cs="Arial"/>
          <w:bCs/>
          <w:szCs w:val="24"/>
        </w:rPr>
        <w:t>: Do nothing - allow the contract to end in March 2023.</w:t>
      </w:r>
    </w:p>
    <w:p w14:paraId="39E157FE" w14:textId="77777777" w:rsidR="00C81D91" w:rsidRPr="00C81D91" w:rsidRDefault="00C81D91" w:rsidP="00C81D91">
      <w:pPr>
        <w:suppressAutoHyphens/>
        <w:autoSpaceDN w:val="0"/>
        <w:ind w:left="360"/>
        <w:jc w:val="both"/>
        <w:textAlignment w:val="baseline"/>
        <w:rPr>
          <w:rFonts w:eastAsia="Calibri" w:cs="Arial"/>
          <w:bCs/>
          <w:szCs w:val="24"/>
        </w:rPr>
      </w:pPr>
    </w:p>
    <w:p w14:paraId="14F976CE" w14:textId="0BA0DD5A" w:rsidR="00C81D91" w:rsidRPr="00C81D91" w:rsidRDefault="00C81D91" w:rsidP="00C81D91">
      <w:pPr>
        <w:suppressAutoHyphens/>
        <w:autoSpaceDN w:val="0"/>
        <w:ind w:left="567"/>
        <w:jc w:val="both"/>
        <w:textAlignment w:val="baseline"/>
        <w:rPr>
          <w:bCs/>
          <w:szCs w:val="24"/>
        </w:rPr>
      </w:pPr>
      <w:r w:rsidRPr="00C81D91">
        <w:rPr>
          <w:bCs/>
          <w:szCs w:val="24"/>
        </w:rPr>
        <w:t xml:space="preserve">This option </w:t>
      </w:r>
      <w:bookmarkStart w:id="10" w:name="_Hlk109204176"/>
      <w:r w:rsidRPr="00C81D91">
        <w:rPr>
          <w:bCs/>
          <w:szCs w:val="24"/>
        </w:rPr>
        <w:t xml:space="preserve">is not recommended </w:t>
      </w:r>
      <w:bookmarkEnd w:id="10"/>
      <w:r w:rsidRPr="00C81D91">
        <w:rPr>
          <w:bCs/>
          <w:szCs w:val="24"/>
        </w:rPr>
        <w:t xml:space="preserve">as </w:t>
      </w:r>
      <w:r w:rsidR="00673ECA">
        <w:rPr>
          <w:bCs/>
          <w:szCs w:val="24"/>
        </w:rPr>
        <w:t xml:space="preserve">domestic abuse has become an important </w:t>
      </w:r>
      <w:r w:rsidR="00A97040">
        <w:rPr>
          <w:bCs/>
          <w:szCs w:val="24"/>
        </w:rPr>
        <w:t xml:space="preserve">local and national policy area. </w:t>
      </w:r>
      <w:r w:rsidRPr="00C81D91">
        <w:rPr>
          <w:bCs/>
          <w:szCs w:val="24"/>
        </w:rPr>
        <w:t xml:space="preserve">The Domestic Abuse Act came into force in April 2021. Therefore, discontinuing the service will create a gap in statutory and non-statutory provision which will be detrimental to adults, children and young people impacted by domestic abuse. </w:t>
      </w:r>
    </w:p>
    <w:p w14:paraId="414F73E9" w14:textId="77777777" w:rsidR="00C81D91" w:rsidRPr="00C81D91" w:rsidRDefault="00C81D91" w:rsidP="00C81D91">
      <w:pPr>
        <w:suppressAutoHyphens/>
        <w:autoSpaceDN w:val="0"/>
        <w:ind w:left="567"/>
        <w:jc w:val="both"/>
        <w:textAlignment w:val="baseline"/>
        <w:rPr>
          <w:bCs/>
          <w:szCs w:val="24"/>
        </w:rPr>
      </w:pPr>
    </w:p>
    <w:p w14:paraId="201E7887" w14:textId="77777777" w:rsidR="00C81D91" w:rsidRPr="00C81D91" w:rsidRDefault="00C81D91" w:rsidP="00C81D91">
      <w:pPr>
        <w:numPr>
          <w:ilvl w:val="1"/>
          <w:numId w:val="14"/>
        </w:numPr>
        <w:suppressAutoHyphens/>
        <w:autoSpaceDN w:val="0"/>
        <w:ind w:hanging="588"/>
        <w:jc w:val="both"/>
        <w:textAlignment w:val="baseline"/>
        <w:rPr>
          <w:rFonts w:eastAsia="Calibri" w:cs="Arial"/>
        </w:rPr>
      </w:pPr>
      <w:r w:rsidRPr="00C81D91">
        <w:rPr>
          <w:rFonts w:eastAsia="Calibri" w:cs="Arial"/>
          <w:b/>
          <w:szCs w:val="24"/>
        </w:rPr>
        <w:t>Option 2</w:t>
      </w:r>
      <w:r w:rsidRPr="00C81D91">
        <w:rPr>
          <w:rFonts w:eastAsia="Calibri" w:cs="Arial"/>
          <w:bCs/>
          <w:szCs w:val="24"/>
        </w:rPr>
        <w:t>: Bring elements of the service in-house.</w:t>
      </w:r>
    </w:p>
    <w:p w14:paraId="4C02A670" w14:textId="77777777" w:rsidR="00C81D91" w:rsidRPr="00C81D91" w:rsidRDefault="00C81D91" w:rsidP="00C81D91">
      <w:pPr>
        <w:suppressAutoHyphens/>
        <w:autoSpaceDN w:val="0"/>
        <w:ind w:firstLine="720"/>
        <w:jc w:val="both"/>
        <w:textAlignment w:val="baseline"/>
        <w:rPr>
          <w:bCs/>
          <w:szCs w:val="24"/>
        </w:rPr>
      </w:pPr>
    </w:p>
    <w:p w14:paraId="1CB7F6E6" w14:textId="77777777" w:rsidR="00C81D91" w:rsidRPr="00C81D91" w:rsidRDefault="00C81D91" w:rsidP="00C81D91">
      <w:pPr>
        <w:suppressAutoHyphens/>
        <w:autoSpaceDN w:val="0"/>
        <w:ind w:firstLine="720"/>
        <w:jc w:val="both"/>
        <w:textAlignment w:val="baseline"/>
        <w:rPr>
          <w:bCs/>
          <w:szCs w:val="24"/>
        </w:rPr>
      </w:pPr>
      <w:r w:rsidRPr="00C81D91">
        <w:rPr>
          <w:bCs/>
          <w:szCs w:val="24"/>
        </w:rPr>
        <w:t xml:space="preserve">This option </w:t>
      </w:r>
      <w:bookmarkStart w:id="11" w:name="_Hlk109548030"/>
      <w:r w:rsidRPr="00C81D91">
        <w:rPr>
          <w:bCs/>
          <w:szCs w:val="24"/>
        </w:rPr>
        <w:t xml:space="preserve">is not recommended </w:t>
      </w:r>
      <w:bookmarkEnd w:id="11"/>
      <w:r w:rsidRPr="00C81D91">
        <w:rPr>
          <w:bCs/>
          <w:szCs w:val="24"/>
        </w:rPr>
        <w:t>for the following reasons:</w:t>
      </w:r>
    </w:p>
    <w:p w14:paraId="588791B9" w14:textId="77777777" w:rsidR="00C81D91" w:rsidRPr="00C81D91" w:rsidRDefault="00C81D91" w:rsidP="00C81D91">
      <w:pPr>
        <w:suppressAutoHyphens/>
        <w:autoSpaceDN w:val="0"/>
        <w:jc w:val="both"/>
        <w:textAlignment w:val="baseline"/>
        <w:rPr>
          <w:bCs/>
          <w:szCs w:val="24"/>
        </w:rPr>
      </w:pPr>
    </w:p>
    <w:p w14:paraId="63EE3A93" w14:textId="77777777" w:rsidR="00C81D91" w:rsidRPr="00C81D91" w:rsidRDefault="00C81D91" w:rsidP="00C81D91">
      <w:pPr>
        <w:numPr>
          <w:ilvl w:val="0"/>
          <w:numId w:val="16"/>
        </w:numPr>
        <w:suppressAutoHyphens/>
        <w:autoSpaceDE w:val="0"/>
        <w:autoSpaceDN w:val="0"/>
        <w:jc w:val="both"/>
        <w:textAlignment w:val="baseline"/>
        <w:rPr>
          <w:rFonts w:cs="Arial"/>
          <w:bCs/>
          <w:color w:val="000000"/>
          <w:szCs w:val="24"/>
          <w:lang w:eastAsia="en-GB"/>
        </w:rPr>
      </w:pPr>
      <w:r w:rsidRPr="00C81D91">
        <w:rPr>
          <w:rFonts w:cs="Arial"/>
          <w:bCs/>
          <w:color w:val="000000"/>
          <w:szCs w:val="24"/>
          <w:lang w:eastAsia="en-GB"/>
        </w:rPr>
        <w:t>This would result in additional management resource and higher staff costs.</w:t>
      </w:r>
    </w:p>
    <w:p w14:paraId="454A0779" w14:textId="77777777" w:rsidR="00C81D91" w:rsidRPr="00C81D91" w:rsidRDefault="00C81D91" w:rsidP="00C81D91">
      <w:pPr>
        <w:numPr>
          <w:ilvl w:val="0"/>
          <w:numId w:val="16"/>
        </w:numPr>
        <w:suppressAutoHyphens/>
        <w:autoSpaceDN w:val="0"/>
        <w:jc w:val="both"/>
        <w:textAlignment w:val="baseline"/>
        <w:rPr>
          <w:rFonts w:eastAsia="Calibri" w:cs="Arial"/>
        </w:rPr>
      </w:pPr>
      <w:r w:rsidRPr="00C81D91">
        <w:rPr>
          <w:rFonts w:eastAsia="Calibri" w:cs="Arial"/>
          <w:bCs/>
        </w:rPr>
        <w:t>The service requires extensive and specially trained staff,</w:t>
      </w:r>
      <w:r w:rsidRPr="00C81D91">
        <w:rPr>
          <w:rFonts w:eastAsia="Calibri" w:cs="Arial"/>
        </w:rPr>
        <w:t xml:space="preserve"> </w:t>
      </w:r>
      <w:r w:rsidRPr="00C81D91">
        <w:rPr>
          <w:rFonts w:eastAsia="Calibri" w:cs="Arial"/>
          <w:bCs/>
        </w:rPr>
        <w:t xml:space="preserve">which does not currently exist in-house, </w:t>
      </w:r>
      <w:r w:rsidRPr="00C81D91">
        <w:rPr>
          <w:rFonts w:eastAsia="Calibri" w:cs="Arial"/>
        </w:rPr>
        <w:t>as well as a high degree of objectivity and neutrality from the perspective of the victim.</w:t>
      </w:r>
    </w:p>
    <w:p w14:paraId="440D8047" w14:textId="6A37E42F" w:rsidR="00C81D91" w:rsidRPr="00C81D91" w:rsidRDefault="00C81D91" w:rsidP="00C81D91">
      <w:pPr>
        <w:numPr>
          <w:ilvl w:val="0"/>
          <w:numId w:val="16"/>
        </w:numPr>
        <w:suppressAutoHyphens/>
        <w:autoSpaceDN w:val="0"/>
        <w:jc w:val="both"/>
        <w:textAlignment w:val="baseline"/>
        <w:rPr>
          <w:rFonts w:eastAsia="Calibri" w:cs="Arial"/>
        </w:rPr>
      </w:pPr>
      <w:r w:rsidRPr="00C81D91">
        <w:rPr>
          <w:rFonts w:eastAsia="Calibri" w:cs="Arial"/>
          <w:bCs/>
        </w:rPr>
        <w:t xml:space="preserve">In addition, it would be </w:t>
      </w:r>
      <w:r w:rsidR="00040C65">
        <w:rPr>
          <w:rFonts w:eastAsia="Calibri" w:cs="Arial"/>
          <w:bCs/>
        </w:rPr>
        <w:t>challenging</w:t>
      </w:r>
      <w:r w:rsidR="00040C65" w:rsidRPr="00C81D91">
        <w:rPr>
          <w:rFonts w:eastAsia="Calibri" w:cs="Arial"/>
          <w:bCs/>
        </w:rPr>
        <w:t xml:space="preserve"> </w:t>
      </w:r>
      <w:r w:rsidRPr="00C81D91">
        <w:rPr>
          <w:rFonts w:eastAsia="Calibri" w:cs="Arial"/>
          <w:bCs/>
        </w:rPr>
        <w:t>to mobilise an in-house service in the time available before the end of the existing contract term.</w:t>
      </w:r>
    </w:p>
    <w:p w14:paraId="54FEFD08" w14:textId="77777777" w:rsidR="00C81D91" w:rsidRPr="00C81D91" w:rsidRDefault="00C81D91" w:rsidP="00C81D91">
      <w:pPr>
        <w:suppressAutoHyphens/>
        <w:autoSpaceDN w:val="0"/>
        <w:jc w:val="both"/>
        <w:textAlignment w:val="baseline"/>
      </w:pPr>
    </w:p>
    <w:p w14:paraId="553E028F" w14:textId="77777777" w:rsidR="00C81D91" w:rsidRPr="00C81D91" w:rsidRDefault="00C81D91" w:rsidP="00C81D91">
      <w:pPr>
        <w:numPr>
          <w:ilvl w:val="1"/>
          <w:numId w:val="14"/>
        </w:numPr>
        <w:suppressAutoHyphens/>
        <w:autoSpaceDN w:val="0"/>
        <w:ind w:hanging="588"/>
        <w:jc w:val="both"/>
        <w:textAlignment w:val="baseline"/>
        <w:rPr>
          <w:rFonts w:eastAsia="Calibri" w:cs="Arial"/>
        </w:rPr>
      </w:pPr>
      <w:r w:rsidRPr="00C81D91">
        <w:rPr>
          <w:rFonts w:eastAsia="Calibri" w:cs="Arial"/>
          <w:b/>
          <w:szCs w:val="24"/>
        </w:rPr>
        <w:t>Option 3</w:t>
      </w:r>
      <w:r w:rsidRPr="00C81D91">
        <w:rPr>
          <w:rFonts w:eastAsia="Calibri" w:cs="Arial"/>
          <w:bCs/>
          <w:szCs w:val="24"/>
        </w:rPr>
        <w:t>: Continue with a single contract for service provision, incorporating both the Domestic Abuse Support Service and Support in Safe Accommodation.</w:t>
      </w:r>
    </w:p>
    <w:p w14:paraId="46F4FBF2" w14:textId="77777777" w:rsidR="00C81D91" w:rsidRPr="00C81D91" w:rsidRDefault="00C81D91" w:rsidP="00C81D91">
      <w:pPr>
        <w:suppressAutoHyphens/>
        <w:autoSpaceDN w:val="0"/>
        <w:ind w:left="360"/>
        <w:jc w:val="both"/>
        <w:textAlignment w:val="baseline"/>
        <w:rPr>
          <w:rFonts w:eastAsia="Calibri" w:cs="Arial"/>
          <w:bCs/>
          <w:sz w:val="22"/>
          <w:szCs w:val="22"/>
        </w:rPr>
      </w:pPr>
    </w:p>
    <w:p w14:paraId="3F723E24" w14:textId="77777777" w:rsidR="00C81D91" w:rsidRPr="00C81D91" w:rsidRDefault="00C81D91" w:rsidP="00C81D91">
      <w:pPr>
        <w:suppressAutoHyphens/>
        <w:autoSpaceDN w:val="0"/>
        <w:ind w:left="567"/>
        <w:jc w:val="both"/>
        <w:textAlignment w:val="baseline"/>
        <w:rPr>
          <w:rFonts w:eastAsia="Calibri" w:cs="Arial"/>
          <w:bCs/>
          <w:szCs w:val="24"/>
        </w:rPr>
      </w:pPr>
      <w:r w:rsidRPr="00C81D91">
        <w:rPr>
          <w:rFonts w:eastAsia="Calibri" w:cs="Arial"/>
          <w:bCs/>
          <w:szCs w:val="24"/>
        </w:rPr>
        <w:t>This option is not recommended for the following reasons:</w:t>
      </w:r>
    </w:p>
    <w:p w14:paraId="1CC6D302" w14:textId="77777777" w:rsidR="00C81D91" w:rsidRPr="00C81D91" w:rsidRDefault="00C81D91" w:rsidP="00C81D91">
      <w:pPr>
        <w:suppressAutoHyphens/>
        <w:autoSpaceDN w:val="0"/>
        <w:jc w:val="both"/>
        <w:textAlignment w:val="baseline"/>
        <w:rPr>
          <w:rFonts w:cs="Arial"/>
          <w:sz w:val="22"/>
          <w:szCs w:val="22"/>
          <w:lang w:val="en"/>
        </w:rPr>
      </w:pPr>
    </w:p>
    <w:p w14:paraId="26BB2DDD" w14:textId="5F01C6FB" w:rsidR="00FB5C47" w:rsidRPr="000B36B9" w:rsidRDefault="00CB4B62" w:rsidP="00C81D91">
      <w:pPr>
        <w:numPr>
          <w:ilvl w:val="0"/>
          <w:numId w:val="15"/>
        </w:numPr>
        <w:suppressAutoHyphens/>
        <w:autoSpaceDN w:val="0"/>
        <w:ind w:left="1134" w:hanging="425"/>
        <w:jc w:val="both"/>
        <w:textAlignment w:val="baseline"/>
        <w:rPr>
          <w:rFonts w:eastAsia="Calibri" w:cs="Arial"/>
        </w:rPr>
      </w:pPr>
      <w:r>
        <w:rPr>
          <w:rFonts w:eastAsia="Calibri" w:cs="Arial"/>
        </w:rPr>
        <w:t xml:space="preserve">The market engagement undertaken in 2020 has </w:t>
      </w:r>
      <w:r w:rsidR="00C87D63">
        <w:rPr>
          <w:rFonts w:eastAsia="Calibri" w:cs="Arial"/>
        </w:rPr>
        <w:t xml:space="preserve">indicated that </w:t>
      </w:r>
      <w:r w:rsidR="00C444E1">
        <w:rPr>
          <w:rFonts w:eastAsia="Calibri" w:cs="Arial"/>
        </w:rPr>
        <w:t xml:space="preserve">there are a number of potential service providers </w:t>
      </w:r>
      <w:r w:rsidR="00840D83">
        <w:rPr>
          <w:rFonts w:eastAsia="Calibri" w:cs="Arial"/>
        </w:rPr>
        <w:t xml:space="preserve">who </w:t>
      </w:r>
      <w:r w:rsidR="00822C75">
        <w:rPr>
          <w:rFonts w:eastAsia="Calibri" w:cs="Arial"/>
        </w:rPr>
        <w:t>have the capacity and interest to engage with a procurement process</w:t>
      </w:r>
      <w:r w:rsidR="007D5F79">
        <w:rPr>
          <w:rFonts w:eastAsia="Calibri" w:cs="Arial"/>
        </w:rPr>
        <w:t xml:space="preserve">. This engagement also highlighted the ability of </w:t>
      </w:r>
      <w:r w:rsidR="00101D37">
        <w:rPr>
          <w:rFonts w:eastAsia="Calibri" w:cs="Arial"/>
        </w:rPr>
        <w:t>potential providers to bid for external funding and facilitat</w:t>
      </w:r>
      <w:r w:rsidR="00741CE2">
        <w:rPr>
          <w:rFonts w:eastAsia="Calibri" w:cs="Arial"/>
        </w:rPr>
        <w:t>e collaborative partnership working</w:t>
      </w:r>
      <w:r w:rsidR="00D816A5">
        <w:rPr>
          <w:rFonts w:eastAsia="Calibri" w:cs="Arial"/>
        </w:rPr>
        <w:t>.</w:t>
      </w:r>
    </w:p>
    <w:p w14:paraId="1299A4BC" w14:textId="6B43E528" w:rsidR="00C81D91" w:rsidRPr="00C81D91" w:rsidRDefault="00C81D91" w:rsidP="00C81D91">
      <w:pPr>
        <w:numPr>
          <w:ilvl w:val="0"/>
          <w:numId w:val="15"/>
        </w:numPr>
        <w:suppressAutoHyphens/>
        <w:autoSpaceDN w:val="0"/>
        <w:ind w:left="1134" w:hanging="425"/>
        <w:jc w:val="both"/>
        <w:textAlignment w:val="baseline"/>
        <w:rPr>
          <w:rFonts w:eastAsia="Calibri" w:cs="Arial"/>
        </w:rPr>
      </w:pPr>
      <w:r w:rsidRPr="00C81D91">
        <w:rPr>
          <w:rFonts w:eastAsia="Calibri" w:cs="Arial"/>
          <w:szCs w:val="24"/>
          <w:lang w:val="en"/>
        </w:rPr>
        <w:t xml:space="preserve">While a single provider responsible for the delivery of the whole contract would simplify the procurement process and contracting arrangements, there are risks associated with this approach. There is the heightened risk to the delivery of the whole domestic abuse service if a supplier underperforms or goes out of business. </w:t>
      </w:r>
    </w:p>
    <w:p w14:paraId="2B516BD5" w14:textId="77777777" w:rsidR="00C81D91" w:rsidRPr="00C81D91" w:rsidRDefault="00C81D91" w:rsidP="00C81D91">
      <w:pPr>
        <w:numPr>
          <w:ilvl w:val="0"/>
          <w:numId w:val="15"/>
        </w:numPr>
        <w:suppressAutoHyphens/>
        <w:autoSpaceDN w:val="0"/>
        <w:ind w:left="1134" w:hanging="425"/>
        <w:jc w:val="both"/>
        <w:textAlignment w:val="baseline"/>
        <w:rPr>
          <w:rFonts w:eastAsia="Calibri" w:cs="Arial"/>
        </w:rPr>
      </w:pPr>
      <w:r w:rsidRPr="00C81D91">
        <w:rPr>
          <w:rFonts w:eastAsia="Calibri" w:cs="Arial"/>
          <w:szCs w:val="24"/>
          <w:lang w:val="en"/>
        </w:rPr>
        <w:t xml:space="preserve">The tender would only be obtainable for suppliers who can deliver both the support service, and support within safe accommodation. As a result, this could make the process less competitive.   </w:t>
      </w:r>
    </w:p>
    <w:p w14:paraId="6DA2924F" w14:textId="77777777" w:rsidR="00C81D91" w:rsidRPr="00C81D91" w:rsidRDefault="00C81D91" w:rsidP="00C81D91">
      <w:pPr>
        <w:suppressAutoHyphens/>
        <w:autoSpaceDN w:val="0"/>
        <w:ind w:left="709"/>
        <w:jc w:val="both"/>
        <w:textAlignment w:val="baseline"/>
      </w:pPr>
    </w:p>
    <w:p w14:paraId="10D3C8ED" w14:textId="2AB5E577" w:rsidR="00C81D91" w:rsidRPr="00C81D91" w:rsidRDefault="00C81D91" w:rsidP="00C81D91">
      <w:pPr>
        <w:numPr>
          <w:ilvl w:val="1"/>
          <w:numId w:val="14"/>
        </w:numPr>
        <w:suppressAutoHyphens/>
        <w:autoSpaceDN w:val="0"/>
        <w:ind w:hanging="588"/>
        <w:jc w:val="both"/>
        <w:textAlignment w:val="baseline"/>
        <w:rPr>
          <w:rFonts w:eastAsia="Calibri" w:cs="Arial"/>
        </w:rPr>
      </w:pPr>
      <w:r w:rsidRPr="00C81D91">
        <w:rPr>
          <w:rFonts w:eastAsia="Calibri" w:cs="Arial"/>
          <w:b/>
          <w:szCs w:val="24"/>
        </w:rPr>
        <w:t>Option 4</w:t>
      </w:r>
      <w:r w:rsidRPr="00C81D91">
        <w:rPr>
          <w:rFonts w:eastAsia="Calibri" w:cs="Arial"/>
          <w:bCs/>
          <w:szCs w:val="24"/>
        </w:rPr>
        <w:t>: Separate the two key elements of the service into two lots: Lot 1 being the Domestic Abuse Support Service and Lot 2 being Support in Safe Accommodation.</w:t>
      </w:r>
      <w:r w:rsidR="00E11BE7" w:rsidRPr="00F3469F">
        <w:rPr>
          <w:rFonts w:eastAsia="Calibri" w:cs="Arial"/>
          <w:bCs/>
          <w:szCs w:val="24"/>
        </w:rPr>
        <w:t xml:space="preserve"> </w:t>
      </w:r>
      <w:r w:rsidR="00202599" w:rsidRPr="00F3469F">
        <w:rPr>
          <w:rFonts w:eastAsia="Calibri" w:cs="Arial"/>
          <w:bCs/>
          <w:szCs w:val="24"/>
        </w:rPr>
        <w:t xml:space="preserve">This approach does not impact the budget for the </w:t>
      </w:r>
      <w:r w:rsidR="009F1810" w:rsidRPr="00F3469F">
        <w:rPr>
          <w:rFonts w:eastAsia="Calibri" w:cs="Arial"/>
          <w:bCs/>
          <w:szCs w:val="24"/>
        </w:rPr>
        <w:t>service</w:t>
      </w:r>
      <w:r w:rsidR="00E4541E" w:rsidRPr="00F3469F">
        <w:rPr>
          <w:rFonts w:eastAsia="Calibri" w:cs="Arial"/>
          <w:bCs/>
          <w:szCs w:val="24"/>
        </w:rPr>
        <w:t xml:space="preserve"> which will remain at £</w:t>
      </w:r>
      <w:r w:rsidR="005D433A" w:rsidRPr="00F3469F">
        <w:rPr>
          <w:rFonts w:eastAsia="Calibri" w:cs="Arial"/>
          <w:bCs/>
          <w:szCs w:val="24"/>
        </w:rPr>
        <w:t>341,655</w:t>
      </w:r>
      <w:r w:rsidR="00A25EFA">
        <w:rPr>
          <w:rFonts w:eastAsia="Calibri" w:cs="Arial"/>
          <w:bCs/>
          <w:szCs w:val="24"/>
        </w:rPr>
        <w:t xml:space="preserve"> and does not exclude </w:t>
      </w:r>
      <w:r w:rsidR="0058681B">
        <w:rPr>
          <w:rFonts w:eastAsia="Calibri" w:cs="Arial"/>
          <w:bCs/>
          <w:szCs w:val="24"/>
        </w:rPr>
        <w:t xml:space="preserve">any one </w:t>
      </w:r>
      <w:r w:rsidR="0058681B">
        <w:rPr>
          <w:rFonts w:eastAsia="Calibri" w:cs="Arial"/>
          <w:bCs/>
          <w:szCs w:val="24"/>
        </w:rPr>
        <w:lastRenderedPageBreak/>
        <w:t xml:space="preserve">supplier </w:t>
      </w:r>
      <w:r w:rsidR="00875A5D">
        <w:rPr>
          <w:rFonts w:eastAsia="Calibri" w:cs="Arial"/>
          <w:bCs/>
          <w:szCs w:val="24"/>
        </w:rPr>
        <w:t>from</w:t>
      </w:r>
      <w:r w:rsidR="0058681B">
        <w:rPr>
          <w:rFonts w:eastAsia="Calibri" w:cs="Arial"/>
          <w:bCs/>
          <w:szCs w:val="24"/>
        </w:rPr>
        <w:t xml:space="preserve"> bidding for and potentially </w:t>
      </w:r>
      <w:r w:rsidR="00297021">
        <w:rPr>
          <w:rFonts w:eastAsia="Calibri" w:cs="Arial"/>
          <w:bCs/>
          <w:szCs w:val="24"/>
        </w:rPr>
        <w:t xml:space="preserve">being successful in </w:t>
      </w:r>
      <w:r w:rsidR="000B3A97">
        <w:rPr>
          <w:rFonts w:eastAsia="Calibri" w:cs="Arial"/>
          <w:bCs/>
          <w:szCs w:val="24"/>
        </w:rPr>
        <w:t>winning</w:t>
      </w:r>
      <w:r w:rsidR="00875A5D">
        <w:rPr>
          <w:rFonts w:eastAsia="Calibri" w:cs="Arial"/>
          <w:bCs/>
          <w:szCs w:val="24"/>
        </w:rPr>
        <w:t xml:space="preserve"> both contracts</w:t>
      </w:r>
      <w:r w:rsidR="002B58F5">
        <w:rPr>
          <w:rFonts w:eastAsia="Calibri" w:cs="Arial"/>
          <w:bCs/>
          <w:szCs w:val="24"/>
        </w:rPr>
        <w:t>.</w:t>
      </w:r>
    </w:p>
    <w:p w14:paraId="27CFF90D" w14:textId="77777777" w:rsidR="00C81D91" w:rsidRPr="00C81D91" w:rsidRDefault="00C81D91" w:rsidP="00C81D91">
      <w:pPr>
        <w:suppressAutoHyphens/>
        <w:autoSpaceDN w:val="0"/>
        <w:jc w:val="both"/>
        <w:textAlignment w:val="baseline"/>
        <w:rPr>
          <w:bCs/>
          <w:szCs w:val="24"/>
        </w:rPr>
      </w:pPr>
    </w:p>
    <w:p w14:paraId="7092301A" w14:textId="77777777" w:rsidR="00C81D91" w:rsidRPr="00C81D91" w:rsidRDefault="00C81D91" w:rsidP="00C81D91">
      <w:pPr>
        <w:suppressAutoHyphens/>
        <w:autoSpaceDN w:val="0"/>
        <w:ind w:left="567"/>
        <w:jc w:val="both"/>
        <w:textAlignment w:val="baseline"/>
        <w:rPr>
          <w:szCs w:val="24"/>
          <w:lang w:val="en"/>
        </w:rPr>
      </w:pPr>
      <w:r w:rsidRPr="00C81D91">
        <w:rPr>
          <w:szCs w:val="24"/>
          <w:lang w:val="en"/>
        </w:rPr>
        <w:t xml:space="preserve">Splitting the overall service provision into two lots would require more time for the procurement process and contract management, and therefore risks losing potential economies of scale. However, there are a number of benefits to this approach.  </w:t>
      </w:r>
    </w:p>
    <w:p w14:paraId="334C411E" w14:textId="17FE04AD" w:rsidR="00C81D91" w:rsidRPr="00C81D91" w:rsidRDefault="00C81D91" w:rsidP="00C81D91">
      <w:pPr>
        <w:numPr>
          <w:ilvl w:val="0"/>
          <w:numId w:val="17"/>
        </w:numPr>
        <w:suppressAutoHyphens/>
        <w:autoSpaceDN w:val="0"/>
        <w:ind w:left="1843"/>
        <w:jc w:val="both"/>
        <w:textAlignment w:val="baseline"/>
        <w:rPr>
          <w:rFonts w:eastAsia="Calibri" w:cs="Arial"/>
          <w:szCs w:val="24"/>
          <w:lang w:val="en"/>
        </w:rPr>
      </w:pPr>
      <w:r w:rsidRPr="00C81D91">
        <w:rPr>
          <w:rFonts w:eastAsia="Calibri" w:cs="Arial"/>
          <w:szCs w:val="24"/>
          <w:lang w:val="en"/>
        </w:rPr>
        <w:t>Not restricting the process to suppliers who can only provide the whole service broadens the scope of applicants, increasing competition and mitigating the risk that the Council might miss out on good quality bids</w:t>
      </w:r>
      <w:r w:rsidR="001B2233">
        <w:rPr>
          <w:rFonts w:eastAsia="Calibri" w:cs="Arial"/>
          <w:szCs w:val="24"/>
          <w:lang w:val="en"/>
        </w:rPr>
        <w:t xml:space="preserve"> (which we have tested with the market to verify)</w:t>
      </w:r>
      <w:r w:rsidRPr="00C81D91">
        <w:rPr>
          <w:rFonts w:eastAsia="Calibri" w:cs="Arial"/>
          <w:szCs w:val="24"/>
          <w:lang w:val="en"/>
        </w:rPr>
        <w:t>.</w:t>
      </w:r>
    </w:p>
    <w:p w14:paraId="0F6AF67D" w14:textId="77777777" w:rsidR="00C81D91" w:rsidRPr="00C81D91" w:rsidRDefault="00C81D91" w:rsidP="00C81D91">
      <w:pPr>
        <w:numPr>
          <w:ilvl w:val="0"/>
          <w:numId w:val="17"/>
        </w:numPr>
        <w:suppressAutoHyphens/>
        <w:autoSpaceDN w:val="0"/>
        <w:ind w:left="1843"/>
        <w:jc w:val="both"/>
        <w:textAlignment w:val="baseline"/>
        <w:rPr>
          <w:rFonts w:eastAsia="Calibri" w:cs="Arial"/>
          <w:bCs/>
          <w:szCs w:val="24"/>
        </w:rPr>
      </w:pPr>
      <w:r w:rsidRPr="00C81D91">
        <w:rPr>
          <w:rFonts w:eastAsia="Calibri" w:cs="Arial"/>
          <w:szCs w:val="24"/>
          <w:lang w:val="en"/>
        </w:rPr>
        <w:t>It supports small and medium sized enterprises by encouraging and enabling them to do business with the Council.</w:t>
      </w:r>
    </w:p>
    <w:p w14:paraId="157EE40B" w14:textId="77777777" w:rsidR="00C81D91" w:rsidRPr="00C81D91" w:rsidRDefault="00C81D91" w:rsidP="00C81D91">
      <w:pPr>
        <w:numPr>
          <w:ilvl w:val="0"/>
          <w:numId w:val="17"/>
        </w:numPr>
        <w:suppressAutoHyphens/>
        <w:autoSpaceDN w:val="0"/>
        <w:ind w:left="1843"/>
        <w:jc w:val="both"/>
        <w:textAlignment w:val="baseline"/>
        <w:rPr>
          <w:rFonts w:eastAsia="Calibri" w:cs="Arial"/>
          <w:bCs/>
          <w:szCs w:val="24"/>
        </w:rPr>
      </w:pPr>
      <w:r w:rsidRPr="00C81D91">
        <w:rPr>
          <w:rFonts w:eastAsia="Calibri" w:cs="Arial"/>
          <w:szCs w:val="24"/>
          <w:lang w:val="en"/>
        </w:rPr>
        <w:t>Splitting the contract also spreads the risk associated with relying on one service provider and may increase resilience into the overall service delivery</w:t>
      </w:r>
    </w:p>
    <w:p w14:paraId="3FFF2A2D" w14:textId="77777777" w:rsidR="00C81D91" w:rsidRPr="00C81D91" w:rsidRDefault="00C81D91" w:rsidP="00C81D91">
      <w:pPr>
        <w:suppressAutoHyphens/>
        <w:autoSpaceDN w:val="0"/>
        <w:jc w:val="both"/>
        <w:textAlignment w:val="baseline"/>
        <w:rPr>
          <w:bCs/>
          <w:szCs w:val="24"/>
        </w:rPr>
      </w:pPr>
    </w:p>
    <w:p w14:paraId="3B01D252" w14:textId="00042DF9" w:rsidR="00C81D91" w:rsidRPr="00C81D91" w:rsidRDefault="00C81D91" w:rsidP="00E75ABD">
      <w:pPr>
        <w:suppressAutoHyphens/>
        <w:autoSpaceDN w:val="0"/>
        <w:jc w:val="both"/>
        <w:textAlignment w:val="baseline"/>
        <w:rPr>
          <w:bCs/>
        </w:rPr>
      </w:pPr>
      <w:r w:rsidRPr="00C81D91">
        <w:rPr>
          <w:b/>
        </w:rPr>
        <w:t>Option 4 is recommended.</w:t>
      </w:r>
      <w:r w:rsidR="00E54CC8" w:rsidRPr="00F3469F">
        <w:rPr>
          <w:b/>
        </w:rPr>
        <w:t xml:space="preserve"> </w:t>
      </w:r>
      <w:r w:rsidR="00E54CC8" w:rsidRPr="00F3469F">
        <w:rPr>
          <w:bCs/>
        </w:rPr>
        <w:t xml:space="preserve">It should be noted that as the </w:t>
      </w:r>
      <w:r w:rsidR="004F1F1A" w:rsidRPr="00F3469F">
        <w:rPr>
          <w:bCs/>
        </w:rPr>
        <w:t xml:space="preserve">funding for the service has been </w:t>
      </w:r>
      <w:r w:rsidR="00530EC1" w:rsidRPr="00F3469F">
        <w:rPr>
          <w:bCs/>
        </w:rPr>
        <w:t xml:space="preserve">set at £341,655 </w:t>
      </w:r>
      <w:r w:rsidR="00ED2494" w:rsidRPr="00F3469F">
        <w:rPr>
          <w:bCs/>
        </w:rPr>
        <w:t xml:space="preserve">the competitive nature of the tender process will not be based on </w:t>
      </w:r>
      <w:r w:rsidR="004C7F4D" w:rsidRPr="00F3469F">
        <w:rPr>
          <w:bCs/>
        </w:rPr>
        <w:t xml:space="preserve">cost </w:t>
      </w:r>
      <w:r w:rsidR="003035BF" w:rsidRPr="00F3469F">
        <w:rPr>
          <w:bCs/>
        </w:rPr>
        <w:t xml:space="preserve">benefit </w:t>
      </w:r>
      <w:r w:rsidR="004C7F4D" w:rsidRPr="00F3469F">
        <w:rPr>
          <w:bCs/>
        </w:rPr>
        <w:t>but on the quality of the service that supplier</w:t>
      </w:r>
      <w:r w:rsidR="004E5E41">
        <w:rPr>
          <w:bCs/>
        </w:rPr>
        <w:t>s</w:t>
      </w:r>
      <w:r w:rsidR="004C7F4D" w:rsidRPr="00F3469F">
        <w:rPr>
          <w:bCs/>
        </w:rPr>
        <w:t xml:space="preserve"> can provide</w:t>
      </w:r>
      <w:r w:rsidR="005E4A0C">
        <w:rPr>
          <w:bCs/>
        </w:rPr>
        <w:t xml:space="preserve"> for the funding envelope</w:t>
      </w:r>
      <w:r w:rsidR="004C7F4D" w:rsidRPr="00F3469F">
        <w:rPr>
          <w:bCs/>
        </w:rPr>
        <w:t>.</w:t>
      </w:r>
    </w:p>
    <w:p w14:paraId="5D089B1E" w14:textId="7AB00BD3" w:rsidR="00333FAA" w:rsidRPr="00EE13A5" w:rsidRDefault="00333FAA" w:rsidP="001472A8">
      <w:pPr>
        <w:pStyle w:val="Heading2"/>
        <w:spacing w:before="240"/>
        <w:rPr>
          <w:rFonts w:ascii="Arial" w:hAnsi="Arial"/>
          <w:sz w:val="28"/>
          <w:szCs w:val="28"/>
        </w:rPr>
      </w:pPr>
      <w:r w:rsidRPr="00EE13A5">
        <w:rPr>
          <w:rFonts w:ascii="Arial" w:hAnsi="Arial"/>
          <w:sz w:val="28"/>
          <w:szCs w:val="28"/>
        </w:rPr>
        <w:t>Background</w:t>
      </w:r>
    </w:p>
    <w:p w14:paraId="2E33A591" w14:textId="4AE6E20C" w:rsidR="00333FAA" w:rsidRDefault="00333FAA" w:rsidP="00333FAA">
      <w:pPr>
        <w:rPr>
          <w:rFonts w:cs="Arial"/>
          <w:color w:val="0000FF"/>
          <w:sz w:val="28"/>
          <w:szCs w:val="28"/>
        </w:rPr>
      </w:pPr>
    </w:p>
    <w:p w14:paraId="76CAB269" w14:textId="0F489F65" w:rsidR="00DA77BB" w:rsidRPr="00DA77BB" w:rsidRDefault="00DA77BB" w:rsidP="00DA77BB">
      <w:pPr>
        <w:suppressAutoHyphens/>
        <w:autoSpaceDN w:val="0"/>
        <w:textAlignment w:val="baseline"/>
      </w:pPr>
      <w:r w:rsidRPr="00DA77BB">
        <w:rPr>
          <w:rFonts w:cs="Arial"/>
          <w:szCs w:val="24"/>
        </w:rPr>
        <w:t xml:space="preserve">3.1 </w:t>
      </w:r>
      <w:r w:rsidRPr="00DA77BB">
        <w:rPr>
          <w:szCs w:val="24"/>
        </w:rPr>
        <w:tab/>
      </w:r>
      <w:r w:rsidRPr="00DA77BB">
        <w:rPr>
          <w:szCs w:val="24"/>
          <w:u w:val="single"/>
        </w:rPr>
        <w:t>Profile of domestic abuse in Harrow</w:t>
      </w:r>
    </w:p>
    <w:p w14:paraId="592B51AA" w14:textId="6D153BD1"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rPr>
      </w:pPr>
      <w:r w:rsidRPr="00DA77BB">
        <w:rPr>
          <w:rFonts w:eastAsia="Calibri" w:cs="Arial"/>
          <w:szCs w:val="24"/>
        </w:rPr>
        <w:t>There has been a rise in domestic abuse in the borough since the service was first commissioned in 2015</w:t>
      </w:r>
      <w:r w:rsidR="005773E3">
        <w:rPr>
          <w:rFonts w:eastAsia="Calibri" w:cs="Arial"/>
          <w:szCs w:val="24"/>
        </w:rPr>
        <w:t>.</w:t>
      </w:r>
      <w:r w:rsidRPr="00DA77BB">
        <w:rPr>
          <w:rFonts w:eastAsia="Calibri" w:cs="Arial"/>
          <w:szCs w:val="24"/>
          <w:vertAlign w:val="superscript"/>
        </w:rPr>
        <w:footnoteReference w:id="6"/>
      </w:r>
    </w:p>
    <w:p w14:paraId="6DE8D9C5" w14:textId="77777777" w:rsid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 xml:space="preserve">Harrow has seen a rise in the number of recorded domestic abuse offences by 29% from 1,791 in April 2018 to 2,254 in April 2022. </w:t>
      </w:r>
    </w:p>
    <w:p w14:paraId="4BB47075" w14:textId="730F70D0" w:rsidR="005D3D5D" w:rsidRPr="00DA77BB" w:rsidRDefault="00CB2754" w:rsidP="00DA77BB">
      <w:pPr>
        <w:numPr>
          <w:ilvl w:val="0"/>
          <w:numId w:val="20"/>
        </w:numPr>
        <w:suppressAutoHyphens/>
        <w:autoSpaceDE w:val="0"/>
        <w:autoSpaceDN w:val="0"/>
        <w:spacing w:before="60" w:after="60"/>
        <w:jc w:val="both"/>
        <w:textAlignment w:val="baseline"/>
        <w:rPr>
          <w:rFonts w:eastAsia="Calibri" w:cs="Arial"/>
          <w:szCs w:val="24"/>
        </w:rPr>
      </w:pPr>
      <w:r>
        <w:rPr>
          <w:rFonts w:eastAsia="Calibri" w:cs="Arial"/>
          <w:szCs w:val="24"/>
        </w:rPr>
        <w:t xml:space="preserve">Data beyond April 2022 </w:t>
      </w:r>
      <w:r w:rsidR="006F62D9">
        <w:rPr>
          <w:rFonts w:eastAsia="Calibri" w:cs="Arial"/>
          <w:szCs w:val="24"/>
        </w:rPr>
        <w:t>will</w:t>
      </w:r>
      <w:r>
        <w:rPr>
          <w:rFonts w:eastAsia="Calibri" w:cs="Arial"/>
          <w:szCs w:val="24"/>
        </w:rPr>
        <w:t xml:space="preserve"> not </w:t>
      </w:r>
      <w:r w:rsidR="006F62D9">
        <w:rPr>
          <w:rFonts w:eastAsia="Calibri" w:cs="Arial"/>
          <w:szCs w:val="24"/>
        </w:rPr>
        <w:t>be</w:t>
      </w:r>
      <w:r>
        <w:rPr>
          <w:rFonts w:eastAsia="Calibri" w:cs="Arial"/>
          <w:szCs w:val="24"/>
        </w:rPr>
        <w:t xml:space="preserve"> available</w:t>
      </w:r>
      <w:r w:rsidR="006F62D9">
        <w:rPr>
          <w:rFonts w:eastAsia="Calibri" w:cs="Arial"/>
          <w:szCs w:val="24"/>
        </w:rPr>
        <w:t xml:space="preserve"> ahead of the Cabinet meeting in September 202</w:t>
      </w:r>
      <w:r w:rsidR="001702D4">
        <w:rPr>
          <w:rFonts w:eastAsia="Calibri" w:cs="Arial"/>
          <w:szCs w:val="24"/>
        </w:rPr>
        <w:t xml:space="preserve">2. </w:t>
      </w:r>
      <w:r w:rsidR="00A94D14" w:rsidRPr="00A94D14">
        <w:rPr>
          <w:rFonts w:eastAsia="Calibri" w:cs="Arial"/>
          <w:szCs w:val="24"/>
        </w:rPr>
        <w:t>This information is usually only requested annually for the Strategic Assessment</w:t>
      </w:r>
      <w:r w:rsidR="00F86A27">
        <w:rPr>
          <w:rFonts w:eastAsia="Calibri" w:cs="Arial"/>
          <w:szCs w:val="24"/>
        </w:rPr>
        <w:t>.</w:t>
      </w:r>
      <w:r w:rsidR="00A94D14" w:rsidRPr="00A94D14">
        <w:rPr>
          <w:rFonts w:eastAsia="Calibri" w:cs="Arial"/>
          <w:szCs w:val="24"/>
        </w:rPr>
        <w:t xml:space="preserve"> </w:t>
      </w:r>
    </w:p>
    <w:p w14:paraId="18F753CE" w14:textId="14280091" w:rsidR="00DA77BB" w:rsidRPr="00DA77BB" w:rsidRDefault="00DA77BB" w:rsidP="70A5ACE7">
      <w:pPr>
        <w:numPr>
          <w:ilvl w:val="0"/>
          <w:numId w:val="20"/>
        </w:numPr>
        <w:suppressAutoHyphens/>
        <w:autoSpaceDE w:val="0"/>
        <w:autoSpaceDN w:val="0"/>
        <w:spacing w:before="60" w:after="60"/>
        <w:jc w:val="both"/>
        <w:textAlignment w:val="baseline"/>
        <w:rPr>
          <w:rFonts w:eastAsia="Calibri" w:cs="Arial"/>
        </w:rPr>
      </w:pPr>
      <w:r w:rsidRPr="70A5ACE7">
        <w:rPr>
          <w:rFonts w:eastAsia="Calibri" w:cs="Arial"/>
        </w:rPr>
        <w:t>Police crime data for 2019/2022 shows that the number of incidents across the borough has remained stable, at an average of 3,000 per annum. However, domestic abuse incidents have continued to increase since the introduction of Covid-19 measures. The figures from April 2018 stood at 2,960 compared to April 2022 where they stood at 3,320</w:t>
      </w:r>
      <w:r w:rsidR="6BBA882A" w:rsidRPr="70A5ACE7">
        <w:rPr>
          <w:rFonts w:eastAsia="Calibri" w:cs="Arial"/>
        </w:rPr>
        <w:t xml:space="preserve"> </w:t>
      </w:r>
      <w:r w:rsidR="5BFFC804" w:rsidRPr="70A5ACE7">
        <w:rPr>
          <w:rFonts w:eastAsia="Calibri" w:cs="Arial"/>
        </w:rPr>
        <w:t xml:space="preserve">(an increase of approximately 12%). </w:t>
      </w:r>
    </w:p>
    <w:p w14:paraId="6356B56A" w14:textId="052CB482"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There has been an upward trend in the level of incidents flagged as domestic since November 2020. However, there has been a downward trend in the proportion of domestic offences resulting in injury - from 26% (Apr ‘20) to 20% (Apr ’22)</w:t>
      </w:r>
      <w:r w:rsidR="00163262">
        <w:rPr>
          <w:rFonts w:eastAsia="Calibri" w:cs="Arial"/>
          <w:szCs w:val="24"/>
        </w:rPr>
        <w:t>.</w:t>
      </w:r>
      <w:r w:rsidRPr="00DA77BB">
        <w:rPr>
          <w:rFonts w:eastAsia="Calibri" w:cs="Arial"/>
          <w:szCs w:val="24"/>
          <w:vertAlign w:val="superscript"/>
        </w:rPr>
        <w:footnoteReference w:id="7"/>
      </w:r>
    </w:p>
    <w:p w14:paraId="107A8A76" w14:textId="77777777"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 xml:space="preserve">Compared to April 2021 and April 2022 rolling year, the number of flagged domestic offences in Harrow increased by 374. There was a </w:t>
      </w:r>
      <w:r w:rsidRPr="00DA77BB">
        <w:rPr>
          <w:rFonts w:eastAsia="Calibri" w:cs="Arial"/>
          <w:szCs w:val="24"/>
        </w:rPr>
        <w:lastRenderedPageBreak/>
        <w:t>total of 2,195 offences for 12 months up to 2021 and 1,821 offences in 2019. This translates to a 1.48 rate increase.</w:t>
      </w:r>
    </w:p>
    <w:p w14:paraId="481E9A5F" w14:textId="77777777"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 xml:space="preserve">In the 12 months up to August 2021 the highest levels of flagged domestic crime occurred in Roxeth and Greenhill. The highest increases from August 2019 were seen in Roxbourne (+31) and Pinner (+43). </w:t>
      </w:r>
    </w:p>
    <w:p w14:paraId="59150F9E" w14:textId="77777777"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In the 12 months up to August 2021, the lowest levels of flagged domestic crime occurred in Harrow Weald, and Headstone North. The highest reductions from August 2019 are Hatch End (-27) and West Harrow (-26).</w:t>
      </w:r>
    </w:p>
    <w:p w14:paraId="180509D3" w14:textId="13F2EA43"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 xml:space="preserve">The main forms of domestic abuse experienced by </w:t>
      </w:r>
      <w:r w:rsidR="00046884">
        <w:rPr>
          <w:rFonts w:eastAsia="Calibri" w:cs="Arial"/>
          <w:szCs w:val="24"/>
        </w:rPr>
        <w:t>victims</w:t>
      </w:r>
      <w:r w:rsidR="00046884" w:rsidRPr="00DA77BB">
        <w:rPr>
          <w:rFonts w:eastAsia="Calibri" w:cs="Arial"/>
          <w:szCs w:val="24"/>
        </w:rPr>
        <w:t xml:space="preserve"> </w:t>
      </w:r>
      <w:r w:rsidRPr="00DA77BB">
        <w:rPr>
          <w:rFonts w:eastAsia="Calibri" w:cs="Arial"/>
          <w:szCs w:val="24"/>
        </w:rPr>
        <w:t>include common assault, assault with injury and harassment.</w:t>
      </w:r>
    </w:p>
    <w:p w14:paraId="1456ACEF" w14:textId="4A711499"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 xml:space="preserve">The majority of </w:t>
      </w:r>
      <w:r w:rsidR="00E678D8">
        <w:rPr>
          <w:rFonts w:eastAsia="Calibri" w:cs="Arial"/>
          <w:szCs w:val="24"/>
        </w:rPr>
        <w:t>victims</w:t>
      </w:r>
      <w:r w:rsidR="00E678D8" w:rsidRPr="00DA77BB">
        <w:rPr>
          <w:rFonts w:eastAsia="Calibri" w:cs="Arial"/>
          <w:szCs w:val="24"/>
        </w:rPr>
        <w:t xml:space="preserve"> </w:t>
      </w:r>
      <w:r w:rsidRPr="00DA77BB">
        <w:rPr>
          <w:rFonts w:eastAsia="Calibri" w:cs="Arial"/>
          <w:szCs w:val="24"/>
        </w:rPr>
        <w:t>of domestic abuse in the borough were female (71%) Men made up 24%</w:t>
      </w:r>
      <w:r w:rsidR="00BA168D">
        <w:rPr>
          <w:rFonts w:eastAsia="Calibri" w:cs="Arial"/>
          <w:szCs w:val="24"/>
        </w:rPr>
        <w:t>.</w:t>
      </w:r>
      <w:r w:rsidRPr="00DA77BB">
        <w:rPr>
          <w:rFonts w:eastAsia="Calibri" w:cs="Arial"/>
          <w:szCs w:val="24"/>
          <w:vertAlign w:val="superscript"/>
        </w:rPr>
        <w:footnoteReference w:id="8"/>
      </w:r>
    </w:p>
    <w:p w14:paraId="5C351906" w14:textId="0DF73020" w:rsidR="00DA77BB" w:rsidRP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 xml:space="preserve">Domestic abuse impacts all age groups, with 53% of </w:t>
      </w:r>
      <w:r w:rsidR="00524971">
        <w:rPr>
          <w:rFonts w:eastAsia="Calibri" w:cs="Arial"/>
          <w:szCs w:val="24"/>
        </w:rPr>
        <w:t>victims</w:t>
      </w:r>
      <w:r w:rsidR="00524971" w:rsidRPr="00DA77BB">
        <w:rPr>
          <w:rFonts w:eastAsia="Calibri" w:cs="Arial"/>
          <w:szCs w:val="24"/>
        </w:rPr>
        <w:t xml:space="preserve"> </w:t>
      </w:r>
      <w:r w:rsidRPr="00DA77BB">
        <w:rPr>
          <w:rFonts w:eastAsia="Calibri" w:cs="Arial"/>
          <w:szCs w:val="24"/>
        </w:rPr>
        <w:t xml:space="preserve">aged 25-44 and 24% of </w:t>
      </w:r>
      <w:r w:rsidR="00524971">
        <w:rPr>
          <w:rFonts w:eastAsia="Calibri" w:cs="Arial"/>
          <w:szCs w:val="24"/>
        </w:rPr>
        <w:t>victims</w:t>
      </w:r>
      <w:r w:rsidR="00524971" w:rsidRPr="00DA77BB">
        <w:rPr>
          <w:rFonts w:eastAsia="Calibri" w:cs="Arial"/>
          <w:szCs w:val="24"/>
        </w:rPr>
        <w:t xml:space="preserve"> </w:t>
      </w:r>
      <w:r w:rsidRPr="00DA77BB">
        <w:rPr>
          <w:rFonts w:eastAsia="Calibri" w:cs="Arial"/>
          <w:szCs w:val="24"/>
        </w:rPr>
        <w:t xml:space="preserve">aged 55-64 recorded as </w:t>
      </w:r>
      <w:r w:rsidR="00524971">
        <w:rPr>
          <w:rFonts w:eastAsia="Calibri" w:cs="Arial"/>
          <w:szCs w:val="24"/>
        </w:rPr>
        <w:t>victims</w:t>
      </w:r>
      <w:r w:rsidR="00524971" w:rsidRPr="00DA77BB">
        <w:rPr>
          <w:rFonts w:eastAsia="Calibri" w:cs="Arial"/>
          <w:szCs w:val="24"/>
        </w:rPr>
        <w:t xml:space="preserve"> </w:t>
      </w:r>
      <w:r w:rsidRPr="00DA77BB">
        <w:rPr>
          <w:rFonts w:eastAsia="Calibri" w:cs="Arial"/>
          <w:szCs w:val="24"/>
        </w:rPr>
        <w:t>of abuse. A further 4% were aged 65 plus.</w:t>
      </w:r>
    </w:p>
    <w:p w14:paraId="7C0DF0F7" w14:textId="71F979DF" w:rsidR="00DA77BB" w:rsidRPr="00DA77BB" w:rsidRDefault="002933A7" w:rsidP="00DA77BB">
      <w:pPr>
        <w:numPr>
          <w:ilvl w:val="0"/>
          <w:numId w:val="20"/>
        </w:numPr>
        <w:suppressAutoHyphens/>
        <w:autoSpaceDE w:val="0"/>
        <w:autoSpaceDN w:val="0"/>
        <w:spacing w:before="60" w:after="60"/>
        <w:jc w:val="both"/>
        <w:textAlignment w:val="baseline"/>
        <w:rPr>
          <w:rFonts w:eastAsia="Calibri" w:cs="Arial"/>
          <w:szCs w:val="24"/>
        </w:rPr>
      </w:pPr>
      <w:r w:rsidRPr="002933A7">
        <w:rPr>
          <w:rFonts w:eastAsia="Calibri" w:cs="Arial"/>
          <w:szCs w:val="24"/>
        </w:rPr>
        <w:t>Crime data for 2021 supplied by the Police has recorded the ethnic</w:t>
      </w:r>
      <w:r w:rsidR="00BF6E1D">
        <w:rPr>
          <w:rFonts w:eastAsia="Calibri" w:cs="Arial"/>
          <w:szCs w:val="24"/>
        </w:rPr>
        <w:t>ity</w:t>
      </w:r>
      <w:r w:rsidRPr="002933A7">
        <w:rPr>
          <w:rFonts w:eastAsia="Calibri" w:cs="Arial"/>
          <w:szCs w:val="24"/>
        </w:rPr>
        <w:t xml:space="preserve"> and number of </w:t>
      </w:r>
      <w:r w:rsidR="00BF6E1D">
        <w:rPr>
          <w:rFonts w:eastAsia="Calibri" w:cs="Arial"/>
          <w:szCs w:val="24"/>
        </w:rPr>
        <w:t xml:space="preserve">domestic abuse </w:t>
      </w:r>
      <w:r w:rsidRPr="002933A7">
        <w:rPr>
          <w:rFonts w:eastAsia="Calibri" w:cs="Arial"/>
          <w:szCs w:val="24"/>
        </w:rPr>
        <w:t xml:space="preserve">victims as follows: </w:t>
      </w:r>
      <w:r w:rsidR="00FE7405">
        <w:rPr>
          <w:rFonts w:eastAsia="Calibri" w:cs="Arial"/>
          <w:szCs w:val="24"/>
        </w:rPr>
        <w:t>“</w:t>
      </w:r>
      <w:r w:rsidRPr="002933A7">
        <w:rPr>
          <w:rFonts w:eastAsia="Calibri" w:cs="Arial"/>
          <w:szCs w:val="24"/>
        </w:rPr>
        <w:t>Afro-Caribbean</w:t>
      </w:r>
      <w:r w:rsidR="00FE7405">
        <w:rPr>
          <w:rFonts w:eastAsia="Calibri" w:cs="Arial"/>
          <w:szCs w:val="24"/>
        </w:rPr>
        <w:t>”</w:t>
      </w:r>
      <w:r w:rsidRPr="002933A7">
        <w:rPr>
          <w:rFonts w:eastAsia="Calibri" w:cs="Arial"/>
          <w:szCs w:val="24"/>
        </w:rPr>
        <w:t xml:space="preserve"> 674; </w:t>
      </w:r>
      <w:r w:rsidR="00FE7405">
        <w:rPr>
          <w:rFonts w:eastAsia="Calibri" w:cs="Arial"/>
          <w:szCs w:val="24"/>
        </w:rPr>
        <w:t>“</w:t>
      </w:r>
      <w:r w:rsidRPr="00D866E2">
        <w:rPr>
          <w:rFonts w:eastAsia="Calibri" w:cs="Arial"/>
          <w:szCs w:val="24"/>
        </w:rPr>
        <w:t>Arabian / Egyptian</w:t>
      </w:r>
      <w:r w:rsidR="00FE7405">
        <w:rPr>
          <w:rFonts w:eastAsia="Calibri" w:cs="Arial"/>
          <w:szCs w:val="24"/>
        </w:rPr>
        <w:t>”</w:t>
      </w:r>
      <w:r w:rsidRPr="00D866E2">
        <w:rPr>
          <w:rFonts w:eastAsia="Calibri" w:cs="Arial"/>
          <w:szCs w:val="24"/>
        </w:rPr>
        <w:t xml:space="preserve"> 273</w:t>
      </w:r>
      <w:r w:rsidRPr="002933A7">
        <w:rPr>
          <w:rFonts w:eastAsia="Calibri" w:cs="Arial"/>
          <w:szCs w:val="24"/>
        </w:rPr>
        <w:t xml:space="preserve">; </w:t>
      </w:r>
      <w:r w:rsidR="00FE7405">
        <w:rPr>
          <w:rFonts w:eastAsia="Calibri" w:cs="Arial"/>
          <w:szCs w:val="24"/>
        </w:rPr>
        <w:t>“</w:t>
      </w:r>
      <w:r w:rsidRPr="00D866E2">
        <w:rPr>
          <w:rFonts w:eastAsia="Calibri" w:cs="Arial"/>
          <w:szCs w:val="24"/>
        </w:rPr>
        <w:t>Asian</w:t>
      </w:r>
      <w:r w:rsidR="00FE7405">
        <w:rPr>
          <w:rFonts w:eastAsia="Calibri" w:cs="Arial"/>
          <w:szCs w:val="24"/>
        </w:rPr>
        <w:t>”</w:t>
      </w:r>
      <w:r w:rsidRPr="00D866E2">
        <w:rPr>
          <w:rFonts w:eastAsia="Calibri" w:cs="Arial"/>
          <w:szCs w:val="24"/>
        </w:rPr>
        <w:t xml:space="preserve"> 1,320</w:t>
      </w:r>
      <w:r w:rsidRPr="002933A7">
        <w:rPr>
          <w:rFonts w:eastAsia="Calibri" w:cs="Arial"/>
          <w:szCs w:val="24"/>
        </w:rPr>
        <w:t xml:space="preserve">; </w:t>
      </w:r>
      <w:r w:rsidR="00FE7405">
        <w:rPr>
          <w:rFonts w:eastAsia="Calibri" w:cs="Arial"/>
          <w:szCs w:val="24"/>
        </w:rPr>
        <w:t>“</w:t>
      </w:r>
      <w:r w:rsidRPr="00D866E2">
        <w:rPr>
          <w:rFonts w:eastAsia="Calibri" w:cs="Arial"/>
          <w:szCs w:val="24"/>
        </w:rPr>
        <w:t>Dark European</w:t>
      </w:r>
      <w:r w:rsidR="00FE7405">
        <w:rPr>
          <w:rFonts w:eastAsia="Calibri" w:cs="Arial"/>
          <w:szCs w:val="24"/>
        </w:rPr>
        <w:t>”</w:t>
      </w:r>
      <w:r w:rsidRPr="00D866E2">
        <w:rPr>
          <w:rFonts w:eastAsia="Calibri" w:cs="Arial"/>
          <w:szCs w:val="24"/>
        </w:rPr>
        <w:t xml:space="preserve"> 257</w:t>
      </w:r>
      <w:r w:rsidRPr="002933A7">
        <w:rPr>
          <w:rFonts w:eastAsia="Calibri" w:cs="Arial"/>
          <w:szCs w:val="24"/>
        </w:rPr>
        <w:t xml:space="preserve">; </w:t>
      </w:r>
      <w:r w:rsidR="00FE7405">
        <w:rPr>
          <w:rFonts w:eastAsia="Calibri" w:cs="Arial"/>
          <w:szCs w:val="24"/>
        </w:rPr>
        <w:t>“</w:t>
      </w:r>
      <w:r w:rsidRPr="00D866E2">
        <w:rPr>
          <w:rFonts w:eastAsia="Calibri" w:cs="Arial"/>
          <w:szCs w:val="24"/>
        </w:rPr>
        <w:t>Oriental</w:t>
      </w:r>
      <w:r w:rsidR="00FE7405">
        <w:rPr>
          <w:rFonts w:eastAsia="Calibri" w:cs="Arial"/>
          <w:szCs w:val="24"/>
        </w:rPr>
        <w:t>”</w:t>
      </w:r>
      <w:r w:rsidRPr="00D866E2">
        <w:rPr>
          <w:rFonts w:eastAsia="Calibri" w:cs="Arial"/>
          <w:szCs w:val="24"/>
        </w:rPr>
        <w:t xml:space="preserve"> 86</w:t>
      </w:r>
      <w:r w:rsidRPr="002933A7">
        <w:rPr>
          <w:rFonts w:eastAsia="Calibri" w:cs="Arial"/>
          <w:szCs w:val="24"/>
        </w:rPr>
        <w:t xml:space="preserve">; </w:t>
      </w:r>
      <w:r w:rsidRPr="00D866E2">
        <w:rPr>
          <w:rFonts w:eastAsia="Calibri" w:cs="Arial"/>
          <w:szCs w:val="24"/>
        </w:rPr>
        <w:t>Unknown 1,290</w:t>
      </w:r>
      <w:r w:rsidRPr="002933A7">
        <w:rPr>
          <w:rFonts w:eastAsia="Calibri" w:cs="Arial"/>
          <w:szCs w:val="24"/>
        </w:rPr>
        <w:t xml:space="preserve">; </w:t>
      </w:r>
      <w:r w:rsidR="00FE7405">
        <w:rPr>
          <w:rFonts w:eastAsia="Calibri" w:cs="Arial"/>
          <w:szCs w:val="24"/>
        </w:rPr>
        <w:t>“</w:t>
      </w:r>
      <w:r w:rsidRPr="002933A7">
        <w:rPr>
          <w:rFonts w:eastAsia="Calibri" w:cs="Arial"/>
          <w:szCs w:val="24"/>
        </w:rPr>
        <w:t>White European</w:t>
      </w:r>
      <w:r w:rsidR="00FE7405">
        <w:rPr>
          <w:rFonts w:eastAsia="Calibri" w:cs="Arial"/>
          <w:szCs w:val="24"/>
        </w:rPr>
        <w:t>”</w:t>
      </w:r>
      <w:r w:rsidRPr="002933A7">
        <w:rPr>
          <w:rFonts w:eastAsia="Calibri" w:cs="Arial"/>
          <w:szCs w:val="24"/>
        </w:rPr>
        <w:t xml:space="preserve"> 1,470</w:t>
      </w:r>
      <w:r>
        <w:rPr>
          <w:rFonts w:eastAsia="Calibri" w:cs="Arial"/>
          <w:szCs w:val="24"/>
        </w:rPr>
        <w:t>.</w:t>
      </w:r>
      <w:r w:rsidR="00A62827">
        <w:rPr>
          <w:rStyle w:val="FootnoteReference"/>
          <w:rFonts w:eastAsia="Calibri" w:cs="Arial"/>
          <w:szCs w:val="24"/>
        </w:rPr>
        <w:footnoteReference w:id="9"/>
      </w:r>
    </w:p>
    <w:p w14:paraId="3DE22240" w14:textId="4DBF3625" w:rsidR="00DA77BB" w:rsidRDefault="00DA77BB" w:rsidP="00DA77BB">
      <w:pPr>
        <w:numPr>
          <w:ilvl w:val="0"/>
          <w:numId w:val="20"/>
        </w:numPr>
        <w:suppressAutoHyphens/>
        <w:autoSpaceDE w:val="0"/>
        <w:autoSpaceDN w:val="0"/>
        <w:spacing w:before="60" w:after="60"/>
        <w:jc w:val="both"/>
        <w:textAlignment w:val="baseline"/>
        <w:rPr>
          <w:rFonts w:eastAsia="Calibri" w:cs="Arial"/>
          <w:szCs w:val="24"/>
        </w:rPr>
      </w:pPr>
      <w:r w:rsidRPr="00DA77BB">
        <w:rPr>
          <w:rFonts w:eastAsia="Calibri" w:cs="Arial"/>
          <w:szCs w:val="24"/>
        </w:rPr>
        <w:t xml:space="preserve">Profile analysis uses data on domestic flagged crimes reported to police, in the 12 months up to August 2021. It shows that females with black and multi-ethnic “appearance” (based on Police reporting) are the highest proportion of </w:t>
      </w:r>
      <w:r w:rsidR="002C5D9E">
        <w:rPr>
          <w:rFonts w:eastAsia="Calibri" w:cs="Arial"/>
          <w:szCs w:val="24"/>
        </w:rPr>
        <w:t>victims</w:t>
      </w:r>
      <w:r w:rsidRPr="00DA77BB">
        <w:rPr>
          <w:rFonts w:eastAsia="Calibri" w:cs="Arial"/>
          <w:szCs w:val="24"/>
        </w:rPr>
        <w:t xml:space="preserve"> (31%), and white males make up the smallest proportion (6%).</w:t>
      </w:r>
      <w:r w:rsidRPr="00DA77BB">
        <w:rPr>
          <w:rFonts w:eastAsia="Calibri" w:cs="Arial"/>
          <w:szCs w:val="24"/>
          <w:vertAlign w:val="superscript"/>
        </w:rPr>
        <w:footnoteReference w:id="10"/>
      </w:r>
    </w:p>
    <w:p w14:paraId="2B11BBF4" w14:textId="06FE597C" w:rsidR="003A6554" w:rsidRDefault="003A6554" w:rsidP="003A6554">
      <w:pPr>
        <w:suppressAutoHyphens/>
        <w:autoSpaceDE w:val="0"/>
        <w:autoSpaceDN w:val="0"/>
        <w:spacing w:before="60" w:after="60"/>
        <w:jc w:val="both"/>
        <w:textAlignment w:val="baseline"/>
        <w:rPr>
          <w:rFonts w:eastAsia="Calibri" w:cs="Arial"/>
          <w:szCs w:val="24"/>
        </w:rPr>
      </w:pPr>
    </w:p>
    <w:p w14:paraId="4B70611E" w14:textId="65015A56" w:rsidR="00AC4038" w:rsidRPr="00DA77BB" w:rsidRDefault="00AC4038" w:rsidP="00AC4038">
      <w:pPr>
        <w:suppressAutoHyphens/>
        <w:autoSpaceDE w:val="0"/>
        <w:autoSpaceDN w:val="0"/>
        <w:spacing w:before="60" w:after="60"/>
        <w:jc w:val="both"/>
        <w:textAlignment w:val="baseline"/>
        <w:rPr>
          <w:b/>
          <w:bCs/>
          <w:szCs w:val="24"/>
        </w:rPr>
      </w:pPr>
      <w:r w:rsidRPr="00DA77BB">
        <w:rPr>
          <w:b/>
          <w:bCs/>
          <w:szCs w:val="24"/>
        </w:rPr>
        <w:t>Figure 1: Number of domestic abuse offences in Harrow 2017-202</w:t>
      </w:r>
      <w:r w:rsidR="00AC3DF4">
        <w:rPr>
          <w:b/>
          <w:bCs/>
          <w:szCs w:val="24"/>
        </w:rPr>
        <w:t>2</w:t>
      </w:r>
    </w:p>
    <w:p w14:paraId="761790A1" w14:textId="4C4DE755" w:rsidR="00FB2BBA" w:rsidRDefault="00E103E6" w:rsidP="003A6554">
      <w:pPr>
        <w:suppressAutoHyphens/>
        <w:autoSpaceDE w:val="0"/>
        <w:autoSpaceDN w:val="0"/>
        <w:spacing w:before="60" w:after="60"/>
        <w:jc w:val="both"/>
        <w:textAlignment w:val="baseline"/>
        <w:rPr>
          <w:rFonts w:eastAsia="Calibri" w:cs="Arial"/>
          <w:szCs w:val="24"/>
        </w:rPr>
      </w:pPr>
      <w:r w:rsidRPr="00DA77BB">
        <w:rPr>
          <w:noProof/>
        </w:rPr>
        <w:lastRenderedPageBreak/>
        <mc:AlternateContent>
          <mc:Choice Requires="wps">
            <w:drawing>
              <wp:anchor distT="0" distB="0" distL="114300" distR="114300" simplePos="0" relativeHeight="251658240" behindDoc="0" locked="0" layoutInCell="1" allowOverlap="1" wp14:anchorId="418C691D" wp14:editId="2A888383">
                <wp:simplePos x="0" y="0"/>
                <wp:positionH relativeFrom="column">
                  <wp:posOffset>4711700</wp:posOffset>
                </wp:positionH>
                <wp:positionV relativeFrom="paragraph">
                  <wp:posOffset>118110</wp:posOffset>
                </wp:positionV>
                <wp:extent cx="1468755" cy="2178050"/>
                <wp:effectExtent l="0" t="0" r="17145" b="12700"/>
                <wp:wrapNone/>
                <wp:docPr id="3" name="Text Box 9"/>
                <wp:cNvGraphicFramePr/>
                <a:graphic xmlns:a="http://schemas.openxmlformats.org/drawingml/2006/main">
                  <a:graphicData uri="http://schemas.microsoft.com/office/word/2010/wordprocessingShape">
                    <wps:wsp>
                      <wps:cNvSpPr txBox="1"/>
                      <wps:spPr>
                        <a:xfrm>
                          <a:off x="0" y="0"/>
                          <a:ext cx="1468755" cy="2178050"/>
                        </a:xfrm>
                        <a:prstGeom prst="rect">
                          <a:avLst/>
                        </a:prstGeom>
                        <a:solidFill>
                          <a:srgbClr val="FFFFFF"/>
                        </a:solidFill>
                        <a:ln w="6345">
                          <a:solidFill>
                            <a:srgbClr val="000000"/>
                          </a:solidFill>
                          <a:prstDash val="solid"/>
                        </a:ln>
                      </wps:spPr>
                      <wps:txbx>
                        <w:txbxContent>
                          <w:p w14:paraId="039402C5" w14:textId="079E1055" w:rsidR="009D206F" w:rsidRDefault="009D206F" w:rsidP="00DA77BB">
                            <w:r>
                              <w:rPr>
                                <w:sz w:val="18"/>
                                <w:szCs w:val="18"/>
                              </w:rPr>
                              <w:t>Domestic abuse offences heat map (June 2022 rolling year)</w:t>
                            </w:r>
                          </w:p>
                          <w:p w14:paraId="603B0147" w14:textId="674093F8" w:rsidR="009D206F" w:rsidRDefault="009D206F" w:rsidP="00DA77BB">
                            <w:pPr>
                              <w:rPr>
                                <w:sz w:val="18"/>
                                <w:szCs w:val="18"/>
                              </w:rPr>
                            </w:pPr>
                          </w:p>
                          <w:p w14:paraId="33799186" w14:textId="457DBB7D" w:rsidR="009D206F" w:rsidRDefault="009D206F" w:rsidP="00DA77BB">
                            <w:pPr>
                              <w:rPr>
                                <w:sz w:val="18"/>
                                <w:szCs w:val="18"/>
                              </w:rPr>
                            </w:pPr>
                            <w:r>
                              <w:rPr>
                                <w:sz w:val="18"/>
                                <w:szCs w:val="18"/>
                              </w:rPr>
                              <w:t>Low</w:t>
                            </w:r>
                            <w:r>
                              <w:rPr>
                                <w:sz w:val="18"/>
                                <w:szCs w:val="18"/>
                              </w:rPr>
                              <w:tab/>
                            </w:r>
                            <w:r>
                              <w:rPr>
                                <w:sz w:val="18"/>
                                <w:szCs w:val="18"/>
                              </w:rPr>
                              <w:tab/>
                              <w:t>High</w:t>
                            </w:r>
                          </w:p>
                          <w:p w14:paraId="52ACE618" w14:textId="36E6A10C" w:rsidR="009D206F" w:rsidRDefault="00E103E6" w:rsidP="00DA77BB">
                            <w:pPr>
                              <w:rPr>
                                <w:sz w:val="18"/>
                                <w:szCs w:val="18"/>
                              </w:rPr>
                            </w:pPr>
                            <w:r w:rsidRPr="00E103E6">
                              <w:rPr>
                                <w:noProof/>
                              </w:rPr>
                              <w:drawing>
                                <wp:inline distT="0" distB="0" distL="0" distR="0" wp14:anchorId="48BD182F" wp14:editId="156BE518">
                                  <wp:extent cx="1279525" cy="76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9525" cy="76200"/>
                                          </a:xfrm>
                                          <a:prstGeom prst="rect">
                                            <a:avLst/>
                                          </a:prstGeom>
                                          <a:noFill/>
                                          <a:ln>
                                            <a:noFill/>
                                          </a:ln>
                                        </pic:spPr>
                                      </pic:pic>
                                    </a:graphicData>
                                  </a:graphic>
                                </wp:inline>
                              </w:drawing>
                            </w:r>
                            <w:r w:rsidR="00793B8E" w:rsidRPr="00793B8E">
                              <w:rPr>
                                <w:noProof/>
                              </w:rPr>
                              <w:drawing>
                                <wp:inline distT="0" distB="0" distL="0" distR="0" wp14:anchorId="64870A81" wp14:editId="0D4C572B">
                                  <wp:extent cx="1279525" cy="10350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9525" cy="1035050"/>
                                          </a:xfrm>
                                          <a:prstGeom prst="rect">
                                            <a:avLst/>
                                          </a:prstGeom>
                                          <a:noFill/>
                                          <a:ln>
                                            <a:noFill/>
                                          </a:ln>
                                        </pic:spPr>
                                      </pic:pic>
                                    </a:graphicData>
                                  </a:graphic>
                                </wp:inline>
                              </w:drawing>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418C691D" id="_x0000_t202" coordsize="21600,21600" o:spt="202" path="m,l,21600r21600,l21600,xe">
                <v:stroke joinstyle="miter"/>
                <v:path gradientshapeok="t" o:connecttype="rect"/>
              </v:shapetype>
              <v:shape id="Text Box 9" o:spid="_x0000_s1026" type="#_x0000_t202" style="position:absolute;left:0;text-align:left;margin-left:371pt;margin-top:9.3pt;width:115.65pt;height:17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" strokeweight=".17625mm">
                <v:textbox>
                  <w:txbxContent>
                    <w:p w14:paraId="039402C5" w14:textId="079E1055" w:rsidR="009D206F" w:rsidRDefault="009D206F" w:rsidP="00DA77BB">
                      <w:r>
                        <w:rPr>
                          <w:sz w:val="18"/>
                          <w:szCs w:val="18"/>
                        </w:rPr>
                        <w:t>Domestic abuse offences heat map (June 2022 rolling year)</w:t>
                      </w:r>
                    </w:p>
                    <w:p w14:paraId="603B0147" w14:textId="674093F8" w:rsidR="009D206F" w:rsidRDefault="009D206F" w:rsidP="00DA77BB">
                      <w:pPr>
                        <w:rPr>
                          <w:sz w:val="18"/>
                          <w:szCs w:val="18"/>
                        </w:rPr>
                      </w:pPr>
                    </w:p>
                    <w:p w14:paraId="33799186" w14:textId="457DBB7D" w:rsidR="009D206F" w:rsidRDefault="009D206F" w:rsidP="00DA77BB">
                      <w:pPr>
                        <w:rPr>
                          <w:sz w:val="18"/>
                          <w:szCs w:val="18"/>
                        </w:rPr>
                      </w:pPr>
                      <w:r>
                        <w:rPr>
                          <w:sz w:val="18"/>
                          <w:szCs w:val="18"/>
                        </w:rPr>
                        <w:t>Low</w:t>
                      </w:r>
                      <w:r>
                        <w:rPr>
                          <w:sz w:val="18"/>
                          <w:szCs w:val="18"/>
                        </w:rPr>
                        <w:tab/>
                      </w:r>
                      <w:r>
                        <w:rPr>
                          <w:sz w:val="18"/>
                          <w:szCs w:val="18"/>
                        </w:rPr>
                        <w:tab/>
                        <w:t>High</w:t>
                      </w:r>
                    </w:p>
                    <w:p w14:paraId="52ACE618" w14:textId="36E6A10C" w:rsidR="009D206F" w:rsidRDefault="00E103E6" w:rsidP="00DA77BB">
                      <w:pPr>
                        <w:rPr>
                          <w:sz w:val="18"/>
                          <w:szCs w:val="18"/>
                        </w:rPr>
                      </w:pPr>
                      <w:r w:rsidRPr="00E103E6">
                        <w:rPr>
                          <w:noProof/>
                        </w:rPr>
                        <w:drawing>
                          <wp:inline distT="0" distB="0" distL="0" distR="0" wp14:anchorId="48BD182F" wp14:editId="156BE518">
                            <wp:extent cx="1279525" cy="762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9525" cy="76200"/>
                                    </a:xfrm>
                                    <a:prstGeom prst="rect">
                                      <a:avLst/>
                                    </a:prstGeom>
                                    <a:noFill/>
                                    <a:ln>
                                      <a:noFill/>
                                    </a:ln>
                                  </pic:spPr>
                                </pic:pic>
                              </a:graphicData>
                            </a:graphic>
                          </wp:inline>
                        </w:drawing>
                      </w:r>
                      <w:r w:rsidR="00793B8E" w:rsidRPr="00793B8E">
                        <w:rPr>
                          <w:noProof/>
                        </w:rPr>
                        <w:drawing>
                          <wp:inline distT="0" distB="0" distL="0" distR="0" wp14:anchorId="64870A81" wp14:editId="0D4C572B">
                            <wp:extent cx="1279525" cy="103505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9525" cy="1035050"/>
                                    </a:xfrm>
                                    <a:prstGeom prst="rect">
                                      <a:avLst/>
                                    </a:prstGeom>
                                    <a:noFill/>
                                    <a:ln>
                                      <a:noFill/>
                                    </a:ln>
                                  </pic:spPr>
                                </pic:pic>
                              </a:graphicData>
                            </a:graphic>
                          </wp:inline>
                        </w:drawing>
                      </w:r>
                    </w:p>
                  </w:txbxContent>
                </v:textbox>
              </v:shape>
            </w:pict>
          </mc:Fallback>
        </mc:AlternateContent>
      </w:r>
      <w:r w:rsidR="00FB2BBA">
        <w:rPr>
          <w:rFonts w:eastAsia="Calibri" w:cs="Arial"/>
          <w:noProof/>
          <w:szCs w:val="24"/>
        </w:rPr>
        <w:drawing>
          <wp:inline distT="0" distB="0" distL="0" distR="0" wp14:anchorId="1AF99A50" wp14:editId="73140B00">
            <wp:extent cx="4232137" cy="3397250"/>
            <wp:effectExtent l="0" t="0" r="825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2137" cy="3397250"/>
                    </a:xfrm>
                    <a:prstGeom prst="rect">
                      <a:avLst/>
                    </a:prstGeom>
                    <a:noFill/>
                  </pic:spPr>
                </pic:pic>
              </a:graphicData>
            </a:graphic>
          </wp:inline>
        </w:drawing>
      </w:r>
    </w:p>
    <w:p w14:paraId="07FD6A6F" w14:textId="77777777" w:rsidR="00FB2BBA" w:rsidRPr="00DA77BB" w:rsidRDefault="00FB2BBA" w:rsidP="003A6554">
      <w:pPr>
        <w:suppressAutoHyphens/>
        <w:autoSpaceDE w:val="0"/>
        <w:autoSpaceDN w:val="0"/>
        <w:spacing w:before="60" w:after="60"/>
        <w:jc w:val="both"/>
        <w:textAlignment w:val="baseline"/>
        <w:rPr>
          <w:rFonts w:eastAsia="Calibri" w:cs="Arial"/>
          <w:szCs w:val="24"/>
        </w:rPr>
      </w:pPr>
    </w:p>
    <w:p w14:paraId="0E637316" w14:textId="77777777" w:rsidR="00333FAA" w:rsidRPr="00F06E4E" w:rsidRDefault="00333FAA" w:rsidP="00333FAA">
      <w:pPr>
        <w:pStyle w:val="Heading2"/>
        <w:rPr>
          <w:rFonts w:ascii="Arial" w:hAnsi="Arial"/>
          <w:color w:val="0000FF"/>
          <w:sz w:val="28"/>
          <w:szCs w:val="28"/>
        </w:rPr>
      </w:pPr>
      <w:r w:rsidRPr="00C8347E">
        <w:rPr>
          <w:rFonts w:ascii="Arial" w:hAnsi="Arial"/>
          <w:sz w:val="28"/>
          <w:szCs w:val="28"/>
        </w:rPr>
        <w:t>Current situation</w:t>
      </w:r>
    </w:p>
    <w:p w14:paraId="1842CA71" w14:textId="611B7A5E" w:rsidR="00333FAA" w:rsidRDefault="00333FAA" w:rsidP="00333FAA">
      <w:pPr>
        <w:rPr>
          <w:rFonts w:cs="Arial"/>
          <w:color w:val="0000FF"/>
          <w:sz w:val="28"/>
          <w:szCs w:val="28"/>
        </w:rPr>
      </w:pPr>
    </w:p>
    <w:p w14:paraId="04A3CFD9" w14:textId="77777777" w:rsidR="006A1BB4" w:rsidRPr="006A1BB4" w:rsidRDefault="006A1BB4" w:rsidP="006A1BB4">
      <w:pPr>
        <w:suppressAutoHyphens/>
        <w:autoSpaceDE w:val="0"/>
        <w:autoSpaceDN w:val="0"/>
        <w:spacing w:before="60" w:after="60"/>
        <w:jc w:val="both"/>
        <w:textAlignment w:val="baseline"/>
      </w:pPr>
      <w:r w:rsidRPr="006A1BB4">
        <w:rPr>
          <w:rFonts w:eastAsia="Calibri" w:cs="Arial"/>
          <w:szCs w:val="24"/>
          <w:lang w:eastAsia="en-GB"/>
        </w:rPr>
        <w:t xml:space="preserve">4.1      </w:t>
      </w:r>
      <w:r w:rsidRPr="006A1BB4">
        <w:rPr>
          <w:rFonts w:eastAsia="Calibri" w:cs="Arial"/>
          <w:szCs w:val="24"/>
          <w:u w:val="single"/>
          <w:lang w:eastAsia="en-GB"/>
        </w:rPr>
        <w:t>Harrow Council domestic abuse service</w:t>
      </w:r>
    </w:p>
    <w:p w14:paraId="1B697128" w14:textId="6517177A" w:rsidR="006A1BB4" w:rsidRPr="006A1BB4" w:rsidRDefault="006A1BB4" w:rsidP="006A1BB4">
      <w:pPr>
        <w:suppressAutoHyphens/>
        <w:autoSpaceDE w:val="0"/>
        <w:autoSpaceDN w:val="0"/>
        <w:spacing w:before="60" w:after="60"/>
        <w:ind w:left="720"/>
        <w:jc w:val="both"/>
        <w:textAlignment w:val="baseline"/>
        <w:rPr>
          <w:rFonts w:eastAsia="Calibri" w:cs="Arial"/>
          <w:szCs w:val="24"/>
          <w:lang w:eastAsia="en-GB"/>
        </w:rPr>
      </w:pPr>
      <w:r w:rsidRPr="006A1BB4">
        <w:rPr>
          <w:rFonts w:eastAsia="Calibri" w:cs="Arial"/>
          <w:szCs w:val="24"/>
          <w:lang w:eastAsia="en-GB"/>
        </w:rPr>
        <w:t>As part of the commissioning process, a review of the service was undertaken by the Domestic Abuse Commissioning Project Group</w:t>
      </w:r>
      <w:r w:rsidR="00D171BF">
        <w:rPr>
          <w:rFonts w:eastAsia="Calibri" w:cs="Arial"/>
          <w:szCs w:val="24"/>
          <w:lang w:eastAsia="en-GB"/>
        </w:rPr>
        <w:t xml:space="preserve"> from </w:t>
      </w:r>
      <w:r w:rsidR="00495C74">
        <w:rPr>
          <w:rFonts w:eastAsia="Calibri" w:cs="Arial"/>
          <w:szCs w:val="24"/>
          <w:lang w:eastAsia="en-GB"/>
        </w:rPr>
        <w:t xml:space="preserve">October to </w:t>
      </w:r>
      <w:r w:rsidR="00D171BF">
        <w:rPr>
          <w:rFonts w:eastAsia="Calibri" w:cs="Arial"/>
          <w:szCs w:val="24"/>
          <w:lang w:eastAsia="en-GB"/>
        </w:rPr>
        <w:t>November 20</w:t>
      </w:r>
      <w:r w:rsidR="00495C74">
        <w:rPr>
          <w:rFonts w:eastAsia="Calibri" w:cs="Arial"/>
          <w:szCs w:val="24"/>
          <w:lang w:eastAsia="en-GB"/>
        </w:rPr>
        <w:t>20</w:t>
      </w:r>
      <w:r w:rsidR="005A19C2">
        <w:rPr>
          <w:rFonts w:eastAsia="Calibri" w:cs="Arial"/>
          <w:szCs w:val="24"/>
          <w:lang w:eastAsia="en-GB"/>
        </w:rPr>
        <w:t>.</w:t>
      </w:r>
      <w:r w:rsidR="00411800">
        <w:rPr>
          <w:rFonts w:eastAsia="Calibri" w:cs="Arial"/>
          <w:szCs w:val="24"/>
          <w:lang w:eastAsia="en-GB"/>
        </w:rPr>
        <w:t xml:space="preserve"> </w:t>
      </w:r>
      <w:r w:rsidRPr="006A1BB4">
        <w:rPr>
          <w:rFonts w:eastAsia="Calibri" w:cs="Arial"/>
          <w:szCs w:val="24"/>
          <w:lang w:eastAsia="en-GB"/>
        </w:rPr>
        <w:t>Findings are summarised as follows:</w:t>
      </w:r>
    </w:p>
    <w:p w14:paraId="3726BD49" w14:textId="77777777" w:rsidR="006A1BB4" w:rsidRPr="006A1BB4" w:rsidRDefault="006A1BB4" w:rsidP="006A1BB4">
      <w:pPr>
        <w:numPr>
          <w:ilvl w:val="0"/>
          <w:numId w:val="21"/>
        </w:numPr>
        <w:suppressAutoHyphens/>
        <w:autoSpaceDE w:val="0"/>
        <w:autoSpaceDN w:val="0"/>
        <w:ind w:left="1134" w:hanging="357"/>
        <w:jc w:val="both"/>
        <w:textAlignment w:val="baseline"/>
      </w:pPr>
      <w:r>
        <w:t>The number of referrals to the IDVA service has seen an upward trend since 2017/2018, increasing from 354 to 649 in 2020-2021.</w:t>
      </w:r>
    </w:p>
    <w:p w14:paraId="6438645F" w14:textId="77777777" w:rsidR="006A1BB4" w:rsidRPr="006A1BB4" w:rsidRDefault="006A1BB4" w:rsidP="006A1BB4">
      <w:pPr>
        <w:suppressAutoHyphens/>
        <w:autoSpaceDE w:val="0"/>
        <w:autoSpaceDN w:val="0"/>
        <w:ind w:left="777"/>
        <w:jc w:val="both"/>
        <w:textAlignment w:val="baseline"/>
        <w:rPr>
          <w:highlight w:val="yellow"/>
        </w:rPr>
      </w:pPr>
    </w:p>
    <w:p w14:paraId="626F7BF5" w14:textId="77777777" w:rsidR="006A1BB4" w:rsidRPr="006A1BB4" w:rsidRDefault="006A1BB4" w:rsidP="006A1BB4">
      <w:pPr>
        <w:numPr>
          <w:ilvl w:val="0"/>
          <w:numId w:val="21"/>
        </w:numPr>
        <w:suppressAutoHyphens/>
        <w:autoSpaceDE w:val="0"/>
        <w:autoSpaceDN w:val="0"/>
        <w:ind w:left="1134" w:hanging="357"/>
        <w:jc w:val="both"/>
        <w:textAlignment w:val="baseline"/>
      </w:pPr>
      <w:r w:rsidRPr="006A1BB4">
        <w:t xml:space="preserve">Over half of all referrals to the service were from the </w:t>
      </w:r>
      <w:r w:rsidRPr="006A1BB4">
        <w:rPr>
          <w:szCs w:val="24"/>
          <w:lang w:eastAsia="en-GB"/>
        </w:rPr>
        <w:t>Multi Agency Safeguarding Hub</w:t>
      </w:r>
      <w:r w:rsidRPr="006A1BB4">
        <w:t xml:space="preserve"> (MASH) and other departments within Children’s Services, followed by the Police.</w:t>
      </w:r>
    </w:p>
    <w:p w14:paraId="69F351F9" w14:textId="77777777" w:rsidR="006A1BB4" w:rsidRPr="006A1BB4" w:rsidRDefault="006A1BB4" w:rsidP="006A1BB4">
      <w:pPr>
        <w:suppressAutoHyphens/>
        <w:autoSpaceDE w:val="0"/>
        <w:autoSpaceDN w:val="0"/>
        <w:ind w:left="777"/>
        <w:jc w:val="both"/>
        <w:textAlignment w:val="baseline"/>
        <w:rPr>
          <w:highlight w:val="yellow"/>
        </w:rPr>
      </w:pPr>
    </w:p>
    <w:p w14:paraId="369CB3D8" w14:textId="787FB512" w:rsidR="006A1BB4" w:rsidRPr="006A1BB4" w:rsidRDefault="006A1BB4" w:rsidP="006A1BB4">
      <w:pPr>
        <w:numPr>
          <w:ilvl w:val="0"/>
          <w:numId w:val="21"/>
        </w:numPr>
        <w:suppressAutoHyphens/>
        <w:autoSpaceDE w:val="0"/>
        <w:autoSpaceDN w:val="0"/>
        <w:ind w:left="1134" w:hanging="357"/>
        <w:jc w:val="both"/>
        <w:textAlignment w:val="baseline"/>
        <w:rPr>
          <w:szCs w:val="24"/>
          <w:lang w:eastAsia="en-GB"/>
        </w:rPr>
      </w:pPr>
      <w:r w:rsidRPr="006A1BB4">
        <w:rPr>
          <w:szCs w:val="24"/>
          <w:lang w:eastAsia="en-GB"/>
        </w:rPr>
        <w:t xml:space="preserve">The majority of </w:t>
      </w:r>
      <w:r w:rsidR="002C5D9E">
        <w:rPr>
          <w:szCs w:val="24"/>
          <w:lang w:eastAsia="en-GB"/>
        </w:rPr>
        <w:t>victims</w:t>
      </w:r>
      <w:r w:rsidRPr="006A1BB4">
        <w:rPr>
          <w:szCs w:val="24"/>
          <w:lang w:eastAsia="en-GB"/>
        </w:rPr>
        <w:t xml:space="preserve"> that were referred to the service are female, with 6% of male </w:t>
      </w:r>
      <w:r w:rsidR="002C5D9E">
        <w:rPr>
          <w:szCs w:val="24"/>
          <w:lang w:eastAsia="en-GB"/>
        </w:rPr>
        <w:t>victims</w:t>
      </w:r>
      <w:r w:rsidRPr="006A1BB4">
        <w:rPr>
          <w:szCs w:val="24"/>
          <w:lang w:eastAsia="en-GB"/>
        </w:rPr>
        <w:t xml:space="preserve"> accessing the service.</w:t>
      </w:r>
    </w:p>
    <w:p w14:paraId="34AC3F02" w14:textId="77777777" w:rsidR="006A1BB4" w:rsidRPr="006A1BB4" w:rsidRDefault="006A1BB4" w:rsidP="006A1BB4">
      <w:pPr>
        <w:suppressAutoHyphens/>
        <w:autoSpaceDN w:val="0"/>
        <w:ind w:left="720"/>
        <w:textAlignment w:val="baseline"/>
        <w:rPr>
          <w:rFonts w:eastAsia="Calibri" w:cs="Arial"/>
          <w:szCs w:val="24"/>
          <w:lang w:eastAsia="en-GB"/>
        </w:rPr>
      </w:pPr>
    </w:p>
    <w:p w14:paraId="4EFA0BE3" w14:textId="56527145" w:rsidR="006A1BB4" w:rsidRPr="006A1BB4" w:rsidRDefault="006A1BB4" w:rsidP="006A1BB4">
      <w:pPr>
        <w:numPr>
          <w:ilvl w:val="0"/>
          <w:numId w:val="21"/>
        </w:numPr>
        <w:suppressAutoHyphens/>
        <w:autoSpaceDE w:val="0"/>
        <w:autoSpaceDN w:val="0"/>
        <w:ind w:left="1134" w:hanging="357"/>
        <w:jc w:val="both"/>
        <w:textAlignment w:val="baseline"/>
        <w:rPr>
          <w:szCs w:val="24"/>
          <w:lang w:eastAsia="en-GB"/>
        </w:rPr>
      </w:pPr>
      <w:r w:rsidRPr="006A1BB4">
        <w:rPr>
          <w:szCs w:val="24"/>
          <w:lang w:eastAsia="en-GB"/>
        </w:rPr>
        <w:t xml:space="preserve">6% of </w:t>
      </w:r>
      <w:r w:rsidR="002C5D9E">
        <w:rPr>
          <w:szCs w:val="24"/>
          <w:lang w:eastAsia="en-GB"/>
        </w:rPr>
        <w:t>victims</w:t>
      </w:r>
      <w:r w:rsidRPr="006A1BB4">
        <w:rPr>
          <w:szCs w:val="24"/>
          <w:lang w:eastAsia="en-GB"/>
        </w:rPr>
        <w:t xml:space="preserve"> were disabled.</w:t>
      </w:r>
    </w:p>
    <w:p w14:paraId="69A6ED56" w14:textId="77777777" w:rsidR="006A1BB4" w:rsidRPr="006A1BB4" w:rsidRDefault="006A1BB4" w:rsidP="006A1BB4">
      <w:pPr>
        <w:suppressAutoHyphens/>
        <w:autoSpaceDE w:val="0"/>
        <w:autoSpaceDN w:val="0"/>
        <w:ind w:left="774"/>
        <w:jc w:val="both"/>
        <w:textAlignment w:val="baseline"/>
        <w:rPr>
          <w:szCs w:val="24"/>
          <w:highlight w:val="yellow"/>
          <w:lang w:eastAsia="en-GB"/>
        </w:rPr>
      </w:pPr>
    </w:p>
    <w:p w14:paraId="43EBEF55" w14:textId="4AF8BBBE" w:rsidR="006A1BB4" w:rsidRPr="006A1BB4" w:rsidRDefault="006A1BB4" w:rsidP="006A1BB4">
      <w:pPr>
        <w:numPr>
          <w:ilvl w:val="0"/>
          <w:numId w:val="21"/>
        </w:numPr>
        <w:suppressAutoHyphens/>
        <w:autoSpaceDE w:val="0"/>
        <w:autoSpaceDN w:val="0"/>
        <w:ind w:left="1134" w:hanging="357"/>
        <w:jc w:val="both"/>
        <w:textAlignment w:val="baseline"/>
      </w:pPr>
      <w:r w:rsidRPr="006A1BB4">
        <w:t>The service also provides support to the LGBT+ community and they made up 2% of the overall service users.</w:t>
      </w:r>
    </w:p>
    <w:p w14:paraId="4D4969B8" w14:textId="77777777" w:rsidR="006A1BB4" w:rsidRPr="006A1BB4" w:rsidRDefault="006A1BB4" w:rsidP="006A1BB4">
      <w:pPr>
        <w:suppressAutoHyphens/>
        <w:autoSpaceDN w:val="0"/>
        <w:ind w:left="720"/>
        <w:textAlignment w:val="baseline"/>
        <w:rPr>
          <w:rFonts w:eastAsia="Calibri" w:cs="Arial"/>
          <w:szCs w:val="24"/>
          <w:highlight w:val="yellow"/>
          <w:lang w:eastAsia="en-GB"/>
        </w:rPr>
      </w:pPr>
    </w:p>
    <w:p w14:paraId="14698985" w14:textId="2EA94B1B" w:rsidR="006A1BB4" w:rsidRPr="006A1BB4" w:rsidRDefault="006A1BB4" w:rsidP="006A1BB4">
      <w:pPr>
        <w:numPr>
          <w:ilvl w:val="0"/>
          <w:numId w:val="21"/>
        </w:numPr>
        <w:suppressAutoHyphens/>
        <w:autoSpaceDE w:val="0"/>
        <w:autoSpaceDN w:val="0"/>
        <w:ind w:left="1134" w:hanging="357"/>
        <w:jc w:val="both"/>
        <w:textAlignment w:val="baseline"/>
      </w:pPr>
      <w:r w:rsidRPr="006A1BB4">
        <w:t xml:space="preserve">The service also provides support for those with no recourse to public funds who qualify for </w:t>
      </w:r>
      <w:r w:rsidR="00084346">
        <w:t xml:space="preserve">the </w:t>
      </w:r>
      <w:r w:rsidRPr="006A1BB4">
        <w:t>Destitution Domestic Violence (DDV) concession</w:t>
      </w:r>
      <w:r w:rsidR="00084346">
        <w:t>.</w:t>
      </w:r>
      <w:r w:rsidRPr="006A1BB4">
        <w:t xml:space="preserve"> However, the numbers are minimal at less than 1%</w:t>
      </w:r>
      <w:r w:rsidRPr="006A1BB4">
        <w:rPr>
          <w:vertAlign w:val="superscript"/>
        </w:rPr>
        <w:footnoteReference w:id="11"/>
      </w:r>
      <w:r w:rsidRPr="006A1BB4">
        <w:t>.</w:t>
      </w:r>
    </w:p>
    <w:p w14:paraId="2FCD6658" w14:textId="77777777" w:rsidR="006A1BB4" w:rsidRPr="006A1BB4" w:rsidRDefault="006A1BB4" w:rsidP="006A1BB4">
      <w:pPr>
        <w:suppressAutoHyphens/>
        <w:autoSpaceDN w:val="0"/>
        <w:ind w:left="720"/>
        <w:textAlignment w:val="baseline"/>
        <w:rPr>
          <w:rFonts w:eastAsia="Calibri" w:cs="Arial"/>
          <w:highlight w:val="yellow"/>
        </w:rPr>
      </w:pPr>
    </w:p>
    <w:p w14:paraId="75DC0C31" w14:textId="36160680" w:rsidR="006A1BB4" w:rsidRPr="006A1BB4" w:rsidRDefault="006A1BB4" w:rsidP="006A1BB4">
      <w:pPr>
        <w:numPr>
          <w:ilvl w:val="0"/>
          <w:numId w:val="21"/>
        </w:numPr>
        <w:suppressAutoHyphens/>
        <w:autoSpaceDE w:val="0"/>
        <w:autoSpaceDN w:val="0"/>
        <w:ind w:left="1134" w:hanging="357"/>
        <w:jc w:val="both"/>
        <w:textAlignment w:val="baseline"/>
      </w:pPr>
      <w:r w:rsidRPr="006A1BB4">
        <w:lastRenderedPageBreak/>
        <w:t>The ethnic make-up of service users was evenly spread across white and non-white backgrounds, with 27% of service users of Asian origin, 26% White and 7% African and Caribbean and 6% from other ethnic backgrounds.</w:t>
      </w:r>
      <w:r w:rsidR="00F96E5A">
        <w:t xml:space="preserve"> </w:t>
      </w:r>
      <w:r w:rsidR="006F3E47">
        <w:t xml:space="preserve">Comparing the </w:t>
      </w:r>
      <w:r w:rsidR="005C471B">
        <w:t>ethnic</w:t>
      </w:r>
      <w:r w:rsidR="00DA388F">
        <w:t xml:space="preserve"> make-up of service users with the ethnic make-up of victims of domestic abuse shows that </w:t>
      </w:r>
      <w:r w:rsidR="00A45064">
        <w:t xml:space="preserve">members of </w:t>
      </w:r>
      <w:r w:rsidR="00DA388F">
        <w:t>the African and Caribbean</w:t>
      </w:r>
      <w:r w:rsidR="00A45064">
        <w:t xml:space="preserve"> community </w:t>
      </w:r>
      <w:r w:rsidR="003F79EF">
        <w:t xml:space="preserve">are less likely to use the service. However, </w:t>
      </w:r>
      <w:r w:rsidR="00D45B82">
        <w:t xml:space="preserve">the accuracy of this </w:t>
      </w:r>
      <w:r w:rsidR="005353F4">
        <w:t xml:space="preserve">information is </w:t>
      </w:r>
      <w:r w:rsidR="00957F03">
        <w:t xml:space="preserve">difficult to ascertain as the </w:t>
      </w:r>
      <w:r w:rsidR="00FB2276">
        <w:t xml:space="preserve">ethnic profiles </w:t>
      </w:r>
      <w:r w:rsidR="00190B7E">
        <w:t xml:space="preserve">provided </w:t>
      </w:r>
      <w:r w:rsidR="007C5D16">
        <w:t>in the police data are broad</w:t>
      </w:r>
      <w:r w:rsidR="00FE3586">
        <w:t>er than those recorded by the service provider,</w:t>
      </w:r>
      <w:r w:rsidR="007C5D16">
        <w:t xml:space="preserve"> and </w:t>
      </w:r>
      <w:r w:rsidR="00FE3586">
        <w:t xml:space="preserve">are </w:t>
      </w:r>
      <w:r w:rsidR="007C5D16">
        <w:t xml:space="preserve">not </w:t>
      </w:r>
      <w:r w:rsidR="005F7A39">
        <w:t>self-defined.</w:t>
      </w:r>
      <w:r w:rsidR="00CD7B16">
        <w:t xml:space="preserve"> The </w:t>
      </w:r>
      <w:r w:rsidR="000472CC">
        <w:t xml:space="preserve">accuracy of comparing this data is further complicated by </w:t>
      </w:r>
      <w:r w:rsidR="005F44FF">
        <w:t xml:space="preserve">a lack of clarity on the severity of an incident (e.g. is it an incident that would be referred to </w:t>
      </w:r>
      <w:r w:rsidR="001A6575">
        <w:t>the service provider</w:t>
      </w:r>
      <w:r w:rsidR="005F44FF">
        <w:t xml:space="preserve">) and also </w:t>
      </w:r>
      <w:r w:rsidR="00DB02A6">
        <w:t xml:space="preserve">the relationship between the perpetrator and the victim (e.g. </w:t>
      </w:r>
      <w:r w:rsidR="00CD1F2E">
        <w:t>an argument between two brother</w:t>
      </w:r>
      <w:r w:rsidR="006E4751">
        <w:t>s</w:t>
      </w:r>
      <w:r w:rsidR="00CD1F2E">
        <w:t xml:space="preserve"> would be </w:t>
      </w:r>
      <w:r w:rsidR="001A6575">
        <w:t>flagged</w:t>
      </w:r>
      <w:r w:rsidR="00CD1F2E">
        <w:t xml:space="preserve"> as a domestic incident</w:t>
      </w:r>
      <w:r w:rsidR="001A6575">
        <w:t>).</w:t>
      </w:r>
    </w:p>
    <w:p w14:paraId="15CCA5EB" w14:textId="77777777" w:rsidR="006A1BB4" w:rsidRPr="006A1BB4" w:rsidRDefault="006A1BB4" w:rsidP="006A1BB4">
      <w:pPr>
        <w:suppressAutoHyphens/>
        <w:autoSpaceDN w:val="0"/>
        <w:ind w:left="720"/>
        <w:textAlignment w:val="baseline"/>
        <w:rPr>
          <w:rFonts w:eastAsia="Calibri" w:cs="Arial"/>
        </w:rPr>
      </w:pPr>
    </w:p>
    <w:p w14:paraId="6705F46C" w14:textId="77777777" w:rsidR="006A1BB4" w:rsidRPr="006A1BB4" w:rsidRDefault="006A1BB4" w:rsidP="006A1BB4">
      <w:pPr>
        <w:numPr>
          <w:ilvl w:val="0"/>
          <w:numId w:val="21"/>
        </w:numPr>
        <w:suppressAutoHyphens/>
        <w:autoSpaceDE w:val="0"/>
        <w:autoSpaceDN w:val="0"/>
        <w:ind w:left="1134" w:hanging="357"/>
        <w:jc w:val="both"/>
        <w:textAlignment w:val="baseline"/>
      </w:pPr>
      <w:r w:rsidRPr="006A1BB4">
        <w:t>The main type of abuse experienced by those accessing the service was psychological and emotional abuse, followed by coercive and controlling behaviour.</w:t>
      </w:r>
    </w:p>
    <w:p w14:paraId="6A7EBB15" w14:textId="77777777" w:rsidR="006A1BB4" w:rsidRPr="006A1BB4" w:rsidRDefault="006A1BB4" w:rsidP="006A1BB4">
      <w:pPr>
        <w:suppressAutoHyphens/>
        <w:autoSpaceDN w:val="0"/>
        <w:ind w:left="720"/>
        <w:textAlignment w:val="baseline"/>
        <w:rPr>
          <w:rFonts w:eastAsia="Calibri" w:cs="Arial"/>
        </w:rPr>
      </w:pPr>
    </w:p>
    <w:p w14:paraId="1ADC0B65" w14:textId="77777777" w:rsidR="006A1BB4" w:rsidRPr="006A1BB4" w:rsidRDefault="006A1BB4" w:rsidP="006A1BB4">
      <w:pPr>
        <w:numPr>
          <w:ilvl w:val="0"/>
          <w:numId w:val="21"/>
        </w:numPr>
        <w:suppressAutoHyphens/>
        <w:autoSpaceDE w:val="0"/>
        <w:autoSpaceDN w:val="0"/>
        <w:ind w:left="1134" w:hanging="357"/>
        <w:jc w:val="both"/>
        <w:textAlignment w:val="baseline"/>
      </w:pPr>
      <w:r w:rsidRPr="006A1BB4">
        <w:t>In 2021-2022 the annual number of cases referred to the borough’s MARAC was 227, of whom 24 were pregnant. This is an increase of 10% from 2019/2020.</w:t>
      </w:r>
    </w:p>
    <w:p w14:paraId="06ADD15A" w14:textId="77777777" w:rsidR="006A1BB4" w:rsidRPr="006A1BB4" w:rsidRDefault="006A1BB4" w:rsidP="006A1BB4">
      <w:pPr>
        <w:suppressAutoHyphens/>
        <w:autoSpaceDN w:val="0"/>
        <w:ind w:left="720"/>
        <w:textAlignment w:val="baseline"/>
        <w:rPr>
          <w:rFonts w:eastAsia="Calibri" w:cs="Arial"/>
        </w:rPr>
      </w:pPr>
    </w:p>
    <w:p w14:paraId="55450AE3" w14:textId="08919B4C" w:rsidR="006A1BB4" w:rsidRPr="006A1BB4" w:rsidRDefault="006A1BB4" w:rsidP="006A1BB4">
      <w:pPr>
        <w:numPr>
          <w:ilvl w:val="0"/>
          <w:numId w:val="21"/>
        </w:numPr>
        <w:suppressAutoHyphens/>
        <w:autoSpaceDE w:val="0"/>
        <w:autoSpaceDN w:val="0"/>
        <w:ind w:left="1134" w:hanging="357"/>
        <w:jc w:val="both"/>
        <w:textAlignment w:val="baseline"/>
      </w:pPr>
      <w:r w:rsidRPr="006A1BB4">
        <w:t>Of those that were referred to</w:t>
      </w:r>
      <w:r w:rsidR="00DE5F03" w:rsidRPr="00DE5F03">
        <w:rPr>
          <w:rFonts w:eastAsia="Calibri" w:cs="Arial"/>
          <w:b/>
          <w:szCs w:val="24"/>
        </w:rPr>
        <w:t xml:space="preserve"> </w:t>
      </w:r>
      <w:r w:rsidR="00DE5F03" w:rsidRPr="00DE5F03">
        <w:rPr>
          <w:rFonts w:eastAsia="Calibri" w:cs="Arial"/>
          <w:bCs/>
          <w:szCs w:val="24"/>
        </w:rPr>
        <w:t xml:space="preserve">the </w:t>
      </w:r>
      <w:r w:rsidR="00DE5F03" w:rsidRPr="00DE5F03">
        <w:rPr>
          <w:bCs/>
        </w:rPr>
        <w:t>Multi Agency Risk Assessment Conference</w:t>
      </w:r>
      <w:r w:rsidRPr="006A1BB4">
        <w:t xml:space="preserve"> </w:t>
      </w:r>
      <w:r w:rsidR="00DE5F03">
        <w:t>(</w:t>
      </w:r>
      <w:r w:rsidRPr="006A1BB4">
        <w:t>MARAC</w:t>
      </w:r>
      <w:r w:rsidR="00DE5F03">
        <w:t>)</w:t>
      </w:r>
      <w:r w:rsidRPr="006A1BB4">
        <w:t xml:space="preserve">, 61% of </w:t>
      </w:r>
      <w:r w:rsidR="002C5D9E">
        <w:t>victims</w:t>
      </w:r>
      <w:r w:rsidRPr="006A1BB4">
        <w:t xml:space="preserve"> presented with complex needs</w:t>
      </w:r>
      <w:r w:rsidR="004F4243">
        <w:t xml:space="preserve"> (</w:t>
      </w:r>
      <w:r w:rsidRPr="006A1BB4">
        <w:t>36% with mental health and 25% with substance misuse issues</w:t>
      </w:r>
      <w:r w:rsidR="00916D17">
        <w:t>)</w:t>
      </w:r>
      <w:r w:rsidRPr="006A1BB4">
        <w:t>. While 49% of perpetrators presented with mainly substance abuse, but also with some mental health issues.</w:t>
      </w:r>
    </w:p>
    <w:p w14:paraId="54BF9236" w14:textId="77777777" w:rsidR="006A1BB4" w:rsidRPr="006A1BB4" w:rsidRDefault="006A1BB4" w:rsidP="006A1BB4">
      <w:pPr>
        <w:suppressAutoHyphens/>
        <w:autoSpaceDN w:val="0"/>
        <w:ind w:left="720"/>
        <w:textAlignment w:val="baseline"/>
        <w:rPr>
          <w:rFonts w:eastAsia="Calibri" w:cs="Arial"/>
        </w:rPr>
      </w:pPr>
    </w:p>
    <w:p w14:paraId="54590319" w14:textId="77777777" w:rsidR="006A1BB4" w:rsidRPr="006A1BB4" w:rsidRDefault="006A1BB4" w:rsidP="006A1BB4">
      <w:pPr>
        <w:numPr>
          <w:ilvl w:val="0"/>
          <w:numId w:val="21"/>
        </w:numPr>
        <w:suppressAutoHyphens/>
        <w:autoSpaceDE w:val="0"/>
        <w:autoSpaceDN w:val="0"/>
        <w:ind w:left="1134" w:hanging="357"/>
        <w:jc w:val="both"/>
        <w:textAlignment w:val="baseline"/>
      </w:pPr>
      <w:r w:rsidRPr="006A1BB4">
        <w:t>The repeat victimisation case heard at the MARAC increased by 7% in 2020-21 (14%) compared to that of 2019-20 (8%).</w:t>
      </w:r>
      <w:r w:rsidRPr="006A1BB4">
        <w:rPr>
          <w:vertAlign w:val="superscript"/>
        </w:rPr>
        <w:footnoteReference w:id="12"/>
      </w:r>
    </w:p>
    <w:p w14:paraId="75D8BBFB" w14:textId="77777777" w:rsidR="006A1BB4" w:rsidRPr="006A1BB4" w:rsidRDefault="006A1BB4" w:rsidP="006A1BB4">
      <w:pPr>
        <w:suppressAutoHyphens/>
        <w:autoSpaceDN w:val="0"/>
        <w:ind w:left="720"/>
        <w:textAlignment w:val="baseline"/>
        <w:rPr>
          <w:rFonts w:eastAsia="Calibri" w:cs="Arial"/>
        </w:rPr>
      </w:pPr>
    </w:p>
    <w:p w14:paraId="0F5E5BBB" w14:textId="41FF966B" w:rsidR="006A1BB4" w:rsidRPr="006A1BB4" w:rsidRDefault="006A1BB4" w:rsidP="006A1BB4">
      <w:pPr>
        <w:numPr>
          <w:ilvl w:val="0"/>
          <w:numId w:val="21"/>
        </w:numPr>
        <w:suppressAutoHyphens/>
        <w:autoSpaceDE w:val="0"/>
        <w:autoSpaceDN w:val="0"/>
        <w:ind w:left="1134" w:hanging="357"/>
        <w:jc w:val="both"/>
        <w:textAlignment w:val="baseline"/>
      </w:pPr>
      <w:r>
        <w:t xml:space="preserve">The average number of </w:t>
      </w:r>
      <w:r w:rsidR="002C5D9E">
        <w:t>victims</w:t>
      </w:r>
      <w:r>
        <w:t xml:space="preserve"> supported in the refuge is 17</w:t>
      </w:r>
      <w:r w:rsidR="0038295E">
        <w:t xml:space="preserve"> per year</w:t>
      </w:r>
      <w:r>
        <w:t>.</w:t>
      </w:r>
    </w:p>
    <w:p w14:paraId="31F1BEAB" w14:textId="77777777" w:rsidR="006A1BB4" w:rsidRPr="006A1BB4" w:rsidRDefault="006A1BB4" w:rsidP="006A1BB4">
      <w:pPr>
        <w:suppressAutoHyphens/>
        <w:autoSpaceDN w:val="0"/>
        <w:ind w:left="720"/>
        <w:textAlignment w:val="baseline"/>
        <w:rPr>
          <w:rFonts w:eastAsia="Calibri" w:cs="Arial"/>
        </w:rPr>
      </w:pPr>
    </w:p>
    <w:p w14:paraId="222C86A2" w14:textId="0D2511BE" w:rsidR="006A1BB4" w:rsidRPr="006A1BB4" w:rsidRDefault="006A1BB4" w:rsidP="006A1BB4">
      <w:pPr>
        <w:numPr>
          <w:ilvl w:val="0"/>
          <w:numId w:val="21"/>
        </w:numPr>
        <w:suppressAutoHyphens/>
        <w:autoSpaceDE w:val="0"/>
        <w:autoSpaceDN w:val="0"/>
        <w:ind w:left="1134" w:hanging="357"/>
        <w:jc w:val="both"/>
        <w:textAlignment w:val="baseline"/>
      </w:pPr>
      <w:r w:rsidRPr="006A1BB4">
        <w:t xml:space="preserve">Last year, </w:t>
      </w:r>
      <w:r w:rsidR="00030B25">
        <w:t>55</w:t>
      </w:r>
      <w:r w:rsidRPr="006A1BB4">
        <w:t xml:space="preserve"> standard risk </w:t>
      </w:r>
      <w:r w:rsidR="002C5D9E">
        <w:t>victims</w:t>
      </w:r>
      <w:r w:rsidRPr="006A1BB4">
        <w:t xml:space="preserve"> </w:t>
      </w:r>
      <w:r w:rsidR="00030B25">
        <w:t xml:space="preserve">were </w:t>
      </w:r>
      <w:r w:rsidRPr="006A1BB4">
        <w:t>offered long-term support provided by the Floating Support Worker.</w:t>
      </w:r>
    </w:p>
    <w:p w14:paraId="2242734B" w14:textId="77777777" w:rsidR="006A1BB4" w:rsidRPr="006A1BB4" w:rsidRDefault="006A1BB4" w:rsidP="006A1BB4">
      <w:pPr>
        <w:suppressAutoHyphens/>
        <w:autoSpaceDE w:val="0"/>
        <w:autoSpaceDN w:val="0"/>
        <w:ind w:left="777"/>
        <w:jc w:val="both"/>
        <w:textAlignment w:val="baseline"/>
        <w:rPr>
          <w:highlight w:val="yellow"/>
        </w:rPr>
      </w:pPr>
    </w:p>
    <w:p w14:paraId="6A4DCD73" w14:textId="77777777" w:rsidR="006A1BB4" w:rsidRPr="006A1BB4" w:rsidRDefault="006A1BB4" w:rsidP="006A1BB4">
      <w:pPr>
        <w:suppressAutoHyphens/>
        <w:autoSpaceDE w:val="0"/>
        <w:autoSpaceDN w:val="0"/>
        <w:jc w:val="both"/>
        <w:textAlignment w:val="baseline"/>
      </w:pPr>
      <w:r w:rsidRPr="006A1BB4">
        <w:rPr>
          <w:rFonts w:eastAsia="Calibri" w:cs="Arial"/>
          <w:szCs w:val="24"/>
          <w:lang w:eastAsia="en-GB"/>
        </w:rPr>
        <w:t>4.2</w:t>
      </w:r>
      <w:r w:rsidRPr="006A1BB4">
        <w:rPr>
          <w:rFonts w:eastAsia="Calibri" w:cs="Arial"/>
          <w:szCs w:val="24"/>
          <w:lang w:eastAsia="en-GB"/>
        </w:rPr>
        <w:tab/>
      </w:r>
      <w:r w:rsidRPr="006A1BB4">
        <w:rPr>
          <w:rFonts w:eastAsia="Calibri" w:cs="Arial"/>
          <w:szCs w:val="24"/>
          <w:u w:val="single"/>
          <w:lang w:eastAsia="en-GB"/>
        </w:rPr>
        <w:t>Impact of the Covid-19 pandemic on the service</w:t>
      </w:r>
    </w:p>
    <w:p w14:paraId="45CFA060" w14:textId="77777777" w:rsidR="006A1BB4" w:rsidRPr="006A1BB4" w:rsidRDefault="006A1BB4" w:rsidP="006A1BB4">
      <w:pPr>
        <w:shd w:val="clear" w:color="auto" w:fill="FFFFFF"/>
        <w:suppressAutoHyphens/>
        <w:autoSpaceDE w:val="0"/>
        <w:autoSpaceDN w:val="0"/>
        <w:jc w:val="both"/>
        <w:textAlignment w:val="baseline"/>
        <w:rPr>
          <w:rFonts w:eastAsia="Calibri" w:cs="Arial"/>
          <w:sz w:val="22"/>
          <w:szCs w:val="22"/>
          <w:u w:val="single"/>
          <w:lang w:eastAsia="en-GB"/>
        </w:rPr>
      </w:pPr>
    </w:p>
    <w:p w14:paraId="4948566B" w14:textId="611B958E" w:rsidR="006A1BB4" w:rsidRPr="006A1BB4" w:rsidRDefault="00647EF3" w:rsidP="00AA1440">
      <w:pPr>
        <w:numPr>
          <w:ilvl w:val="0"/>
          <w:numId w:val="22"/>
        </w:numPr>
        <w:shd w:val="clear" w:color="auto" w:fill="FFFFFF"/>
        <w:suppressAutoHyphens/>
        <w:autoSpaceDE w:val="0"/>
        <w:autoSpaceDN w:val="0"/>
        <w:jc w:val="both"/>
        <w:textAlignment w:val="baseline"/>
        <w:rPr>
          <w:rFonts w:eastAsia="Calibri" w:cs="Arial"/>
        </w:rPr>
      </w:pPr>
      <w:r w:rsidRPr="00F3469F">
        <w:rPr>
          <w:rFonts w:eastAsia="Calibri" w:cs="Arial"/>
        </w:rPr>
        <w:t xml:space="preserve">The </w:t>
      </w:r>
      <w:r w:rsidR="00687EC0" w:rsidRPr="00F3469F">
        <w:rPr>
          <w:rFonts w:eastAsia="Calibri" w:cs="Arial"/>
        </w:rPr>
        <w:t xml:space="preserve">Covid-19 pandemic continues to have an impact on the delivery of a Domestic Abuse service in Harrow. </w:t>
      </w:r>
      <w:r w:rsidR="00C46AB0" w:rsidRPr="00F3469F">
        <w:rPr>
          <w:rFonts w:eastAsia="Calibri" w:cs="Arial"/>
        </w:rPr>
        <w:t xml:space="preserve">The </w:t>
      </w:r>
      <w:r w:rsidR="00E55A36" w:rsidRPr="00F3469F">
        <w:rPr>
          <w:rFonts w:eastAsia="Calibri" w:cs="Arial"/>
        </w:rPr>
        <w:t xml:space="preserve">increase in referrals during this period </w:t>
      </w:r>
      <w:r w:rsidR="00737A2B" w:rsidRPr="00F3469F">
        <w:rPr>
          <w:rFonts w:eastAsia="Calibri" w:cs="Arial"/>
        </w:rPr>
        <w:t>has created an increased workload for services and longer waiting times</w:t>
      </w:r>
      <w:r w:rsidR="009802CF" w:rsidRPr="00F3469F">
        <w:rPr>
          <w:rFonts w:eastAsia="Calibri" w:cs="Arial"/>
        </w:rPr>
        <w:t>.</w:t>
      </w:r>
    </w:p>
    <w:p w14:paraId="77283503" w14:textId="77777777" w:rsidR="006A1BB4" w:rsidRPr="006A1BB4" w:rsidRDefault="006A1BB4" w:rsidP="006A1BB4">
      <w:pPr>
        <w:shd w:val="clear" w:color="auto" w:fill="FFFFFF"/>
        <w:suppressAutoHyphens/>
        <w:autoSpaceDE w:val="0"/>
        <w:autoSpaceDN w:val="0"/>
        <w:ind w:left="1069"/>
        <w:jc w:val="both"/>
        <w:textAlignment w:val="baseline"/>
        <w:rPr>
          <w:highlight w:val="yellow"/>
        </w:rPr>
      </w:pPr>
    </w:p>
    <w:p w14:paraId="3924DA27" w14:textId="77777777" w:rsidR="00E75ABD" w:rsidRDefault="00E75ABD" w:rsidP="00333FAA">
      <w:pPr>
        <w:pStyle w:val="Heading2"/>
        <w:rPr>
          <w:rFonts w:ascii="Arial" w:hAnsi="Arial"/>
          <w:sz w:val="28"/>
          <w:szCs w:val="28"/>
        </w:rPr>
      </w:pPr>
    </w:p>
    <w:p w14:paraId="6E9B241D" w14:textId="77777777" w:rsidR="00E75ABD" w:rsidRDefault="00E75ABD" w:rsidP="00333FAA">
      <w:pPr>
        <w:pStyle w:val="Heading2"/>
        <w:rPr>
          <w:rFonts w:ascii="Arial" w:hAnsi="Arial"/>
          <w:sz w:val="28"/>
          <w:szCs w:val="28"/>
        </w:rPr>
      </w:pPr>
    </w:p>
    <w:p w14:paraId="555D1469" w14:textId="55D1D9BE" w:rsidR="00333FAA" w:rsidRPr="00D522BD" w:rsidRDefault="00333FAA" w:rsidP="00333FAA">
      <w:pPr>
        <w:pStyle w:val="Heading2"/>
        <w:rPr>
          <w:rFonts w:ascii="Arial" w:hAnsi="Arial"/>
          <w:sz w:val="28"/>
          <w:szCs w:val="28"/>
        </w:rPr>
      </w:pPr>
      <w:r w:rsidRPr="00D522BD">
        <w:rPr>
          <w:rFonts w:ascii="Arial" w:hAnsi="Arial"/>
          <w:sz w:val="28"/>
          <w:szCs w:val="28"/>
        </w:rPr>
        <w:lastRenderedPageBreak/>
        <w:t>Why a change is needed</w:t>
      </w:r>
    </w:p>
    <w:p w14:paraId="6EE4E54C" w14:textId="2F0FF4FC" w:rsidR="00333FAA" w:rsidRDefault="00333FAA" w:rsidP="00333FAA">
      <w:pPr>
        <w:rPr>
          <w:rFonts w:cs="Arial"/>
          <w:color w:val="0000FF"/>
          <w:sz w:val="28"/>
          <w:szCs w:val="28"/>
        </w:rPr>
      </w:pPr>
    </w:p>
    <w:p w14:paraId="279B3BB7" w14:textId="4EBC1648" w:rsidR="00175A6E" w:rsidRPr="00175A6E" w:rsidRDefault="00175A6E" w:rsidP="00175A6E">
      <w:pPr>
        <w:suppressAutoHyphens/>
        <w:autoSpaceDN w:val="0"/>
        <w:ind w:left="720" w:hanging="720"/>
        <w:jc w:val="both"/>
        <w:textAlignment w:val="baseline"/>
      </w:pPr>
      <w:r w:rsidRPr="00175A6E">
        <w:rPr>
          <w:sz w:val="22"/>
          <w:szCs w:val="22"/>
        </w:rPr>
        <w:t xml:space="preserve">5.1 </w:t>
      </w:r>
      <w:r w:rsidRPr="00175A6E">
        <w:rPr>
          <w:sz w:val="22"/>
          <w:szCs w:val="22"/>
        </w:rPr>
        <w:tab/>
      </w:r>
      <w:r w:rsidRPr="00175A6E">
        <w:rPr>
          <w:szCs w:val="24"/>
        </w:rPr>
        <w:t>The introduction of the Domestic Abuse Act</w:t>
      </w:r>
      <w:r w:rsidR="00760A15">
        <w:rPr>
          <w:szCs w:val="24"/>
        </w:rPr>
        <w:t xml:space="preserve"> 2021</w:t>
      </w:r>
      <w:r w:rsidRPr="00175A6E">
        <w:rPr>
          <w:szCs w:val="24"/>
        </w:rPr>
        <w:t xml:space="preserve"> </w:t>
      </w:r>
      <w:r w:rsidR="00273B45" w:rsidRPr="00F3469F">
        <w:rPr>
          <w:szCs w:val="24"/>
        </w:rPr>
        <w:t xml:space="preserve">together with </w:t>
      </w:r>
      <w:r w:rsidRPr="00175A6E">
        <w:rPr>
          <w:szCs w:val="24"/>
        </w:rPr>
        <w:t>national, regional and local policies to protect all victims and those affected by domestic abuse and sexual violence</w:t>
      </w:r>
      <w:r w:rsidR="00273B45" w:rsidRPr="00F3469F">
        <w:rPr>
          <w:szCs w:val="24"/>
        </w:rPr>
        <w:t>,</w:t>
      </w:r>
      <w:r w:rsidRPr="00175A6E">
        <w:rPr>
          <w:szCs w:val="24"/>
        </w:rPr>
        <w:t xml:space="preserve"> </w:t>
      </w:r>
      <w:r w:rsidR="00B7085C" w:rsidRPr="00F3469F">
        <w:rPr>
          <w:szCs w:val="24"/>
        </w:rPr>
        <w:t>continues to</w:t>
      </w:r>
      <w:r w:rsidRPr="00175A6E">
        <w:rPr>
          <w:szCs w:val="24"/>
        </w:rPr>
        <w:t xml:space="preserve"> impact existing service provision. </w:t>
      </w:r>
      <w:r w:rsidR="001B19A1">
        <w:rPr>
          <w:szCs w:val="24"/>
        </w:rPr>
        <w:t xml:space="preserve">The Act has created a </w:t>
      </w:r>
      <w:r w:rsidR="00CB035F">
        <w:rPr>
          <w:szCs w:val="24"/>
        </w:rPr>
        <w:t xml:space="preserve">broader statutory definition of domestic abuse and </w:t>
      </w:r>
      <w:r w:rsidR="004D74A7">
        <w:rPr>
          <w:szCs w:val="24"/>
        </w:rPr>
        <w:t xml:space="preserve">placed additional duties on </w:t>
      </w:r>
      <w:r w:rsidR="00E460FF">
        <w:rPr>
          <w:szCs w:val="24"/>
        </w:rPr>
        <w:t>local authorities</w:t>
      </w:r>
      <w:r w:rsidR="00B83F75">
        <w:rPr>
          <w:szCs w:val="24"/>
        </w:rPr>
        <w:t>.</w:t>
      </w:r>
      <w:r w:rsidR="00EB5B86">
        <w:rPr>
          <w:szCs w:val="24"/>
        </w:rPr>
        <w:t xml:space="preserve"> In response </w:t>
      </w:r>
      <w:r w:rsidR="00127C88">
        <w:rPr>
          <w:szCs w:val="24"/>
        </w:rPr>
        <w:t xml:space="preserve">Harrow Council </w:t>
      </w:r>
      <w:r w:rsidR="003C0D61">
        <w:rPr>
          <w:szCs w:val="24"/>
        </w:rPr>
        <w:t xml:space="preserve">has </w:t>
      </w:r>
      <w:r w:rsidR="00C97B64">
        <w:rPr>
          <w:szCs w:val="24"/>
        </w:rPr>
        <w:t>set up a Violence Against Women and Girls (VAWG) sub-group which reports directly to the statutory</w:t>
      </w:r>
      <w:r w:rsidR="00140123">
        <w:rPr>
          <w:szCs w:val="24"/>
        </w:rPr>
        <w:t xml:space="preserve"> Safer Harrow Partnership. </w:t>
      </w:r>
      <w:r w:rsidR="001257D6">
        <w:rPr>
          <w:szCs w:val="24"/>
        </w:rPr>
        <w:t xml:space="preserve">This sub-group </w:t>
      </w:r>
      <w:r w:rsidR="0072645C">
        <w:rPr>
          <w:szCs w:val="24"/>
        </w:rPr>
        <w:t>brings together key stakeholders to promote safety for women and girls in the borough</w:t>
      </w:r>
      <w:r w:rsidR="00F62965">
        <w:rPr>
          <w:szCs w:val="24"/>
        </w:rPr>
        <w:t xml:space="preserve">. Additionally, the Council will continue to work in partnership with the </w:t>
      </w:r>
      <w:r w:rsidR="00E1252C">
        <w:rPr>
          <w:szCs w:val="24"/>
        </w:rPr>
        <w:t>Greater London Authority (</w:t>
      </w:r>
      <w:r w:rsidR="00F62965">
        <w:rPr>
          <w:szCs w:val="24"/>
        </w:rPr>
        <w:t>GLA</w:t>
      </w:r>
      <w:r w:rsidR="00E1252C">
        <w:rPr>
          <w:szCs w:val="24"/>
        </w:rPr>
        <w:t>)</w:t>
      </w:r>
      <w:r w:rsidR="00BF4615">
        <w:rPr>
          <w:szCs w:val="24"/>
        </w:rPr>
        <w:t xml:space="preserve"> and other Local Authorities in London to </w:t>
      </w:r>
      <w:r w:rsidR="00441641">
        <w:rPr>
          <w:szCs w:val="24"/>
        </w:rPr>
        <w:t xml:space="preserve">fully understand the </w:t>
      </w:r>
      <w:r w:rsidR="001C6373">
        <w:rPr>
          <w:szCs w:val="24"/>
        </w:rPr>
        <w:t>e</w:t>
      </w:r>
      <w:r w:rsidR="00145520">
        <w:rPr>
          <w:szCs w:val="24"/>
        </w:rPr>
        <w:t>xpectations arising from the Act.</w:t>
      </w:r>
      <w:r w:rsidR="00E460FF">
        <w:rPr>
          <w:szCs w:val="24"/>
        </w:rPr>
        <w:t xml:space="preserve"> </w:t>
      </w:r>
    </w:p>
    <w:p w14:paraId="094EA570" w14:textId="77777777" w:rsidR="00175A6E" w:rsidRPr="00175A6E" w:rsidRDefault="00175A6E" w:rsidP="00175A6E">
      <w:pPr>
        <w:suppressAutoHyphens/>
        <w:autoSpaceDN w:val="0"/>
        <w:ind w:left="720" w:hanging="720"/>
        <w:jc w:val="both"/>
        <w:textAlignment w:val="baseline"/>
      </w:pPr>
    </w:p>
    <w:p w14:paraId="505CC36F" w14:textId="50C5616C" w:rsidR="00175A6E" w:rsidRPr="00175A6E" w:rsidRDefault="00175A6E" w:rsidP="00E75ABD">
      <w:pPr>
        <w:suppressAutoHyphens/>
        <w:autoSpaceDN w:val="0"/>
        <w:ind w:left="720" w:hanging="720"/>
        <w:jc w:val="both"/>
        <w:textAlignment w:val="baseline"/>
        <w:rPr>
          <w:rFonts w:eastAsia="Calibri" w:cs="Arial"/>
          <w:szCs w:val="24"/>
          <w:u w:val="single"/>
        </w:rPr>
      </w:pPr>
      <w:r w:rsidRPr="00175A6E">
        <w:rPr>
          <w:szCs w:val="24"/>
        </w:rPr>
        <w:t>5.2</w:t>
      </w:r>
      <w:r w:rsidRPr="00175A6E">
        <w:rPr>
          <w:szCs w:val="24"/>
        </w:rPr>
        <w:tab/>
        <w:t xml:space="preserve">Demand for domestic abuse related support in the borough is increasing and is placing additional pressures on the existing service. </w:t>
      </w:r>
      <w:r w:rsidR="00F7468B" w:rsidRPr="00F3469F">
        <w:rPr>
          <w:rFonts w:eastAsia="Calibri" w:cs="Arial"/>
          <w:szCs w:val="24"/>
          <w:lang w:eastAsia="en-GB"/>
        </w:rPr>
        <w:t>Covid</w:t>
      </w:r>
      <w:r w:rsidRPr="00175A6E">
        <w:rPr>
          <w:rFonts w:eastAsia="Calibri" w:cs="Arial"/>
          <w:szCs w:val="24"/>
          <w:lang w:eastAsia="en-GB"/>
        </w:rPr>
        <w:t xml:space="preserve">-19 has had a significant impact on victims of abuse and has helped highlight pressures on services. </w:t>
      </w:r>
    </w:p>
    <w:p w14:paraId="4DE61E9F" w14:textId="77777777" w:rsidR="00272FA7" w:rsidRDefault="00272FA7" w:rsidP="00333FAA">
      <w:pPr>
        <w:pStyle w:val="Heading2"/>
        <w:rPr>
          <w:rFonts w:ascii="Arial" w:hAnsi="Arial"/>
          <w:sz w:val="28"/>
          <w:szCs w:val="28"/>
        </w:rPr>
      </w:pPr>
    </w:p>
    <w:p w14:paraId="5E3D76B0" w14:textId="5FC2C400" w:rsidR="00333FAA" w:rsidRPr="00FD23AB" w:rsidRDefault="00333FAA" w:rsidP="00333FAA">
      <w:pPr>
        <w:pStyle w:val="Heading2"/>
        <w:rPr>
          <w:rFonts w:ascii="Arial" w:hAnsi="Arial"/>
          <w:sz w:val="28"/>
          <w:szCs w:val="28"/>
        </w:rPr>
      </w:pPr>
      <w:r w:rsidRPr="00FD23AB">
        <w:rPr>
          <w:rFonts w:ascii="Arial" w:hAnsi="Arial"/>
          <w:sz w:val="28"/>
          <w:szCs w:val="28"/>
        </w:rPr>
        <w:t>Implications of the Recommendation</w:t>
      </w:r>
    </w:p>
    <w:p w14:paraId="37AC8C03" w14:textId="77777777" w:rsidR="0054590F" w:rsidRPr="00F06E4E" w:rsidRDefault="0054590F" w:rsidP="0054590F">
      <w:pPr>
        <w:rPr>
          <w:szCs w:val="24"/>
        </w:rPr>
      </w:pPr>
    </w:p>
    <w:p w14:paraId="71841C0A" w14:textId="2F00C840" w:rsidR="00333FAA" w:rsidRPr="00854166" w:rsidRDefault="00D47269" w:rsidP="0054590F">
      <w:pPr>
        <w:pStyle w:val="Heading4"/>
        <w:rPr>
          <w:szCs w:val="24"/>
        </w:rPr>
      </w:pPr>
      <w:r>
        <w:rPr>
          <w:szCs w:val="24"/>
        </w:rPr>
        <w:t>6.1</w:t>
      </w:r>
      <w:r>
        <w:rPr>
          <w:szCs w:val="24"/>
        </w:rPr>
        <w:tab/>
      </w:r>
      <w:r w:rsidR="00854166" w:rsidRPr="00854166">
        <w:rPr>
          <w:szCs w:val="24"/>
        </w:rPr>
        <w:t>C</w:t>
      </w:r>
      <w:r w:rsidR="00333FAA" w:rsidRPr="00854166">
        <w:rPr>
          <w:szCs w:val="24"/>
        </w:rPr>
        <w:t xml:space="preserve">osts </w:t>
      </w:r>
    </w:p>
    <w:p w14:paraId="74349A60" w14:textId="5293B41A" w:rsidR="0054590F" w:rsidRDefault="0054590F" w:rsidP="0054590F">
      <w:pPr>
        <w:rPr>
          <w:szCs w:val="24"/>
        </w:rPr>
      </w:pPr>
    </w:p>
    <w:p w14:paraId="22C08220" w14:textId="77777777" w:rsidR="00BA3CA5" w:rsidRPr="00BA3CA5" w:rsidRDefault="00BA3CA5" w:rsidP="00BA3CA5">
      <w:pPr>
        <w:numPr>
          <w:ilvl w:val="2"/>
          <w:numId w:val="24"/>
        </w:numPr>
        <w:suppressAutoHyphens/>
        <w:autoSpaceDN w:val="0"/>
        <w:textAlignment w:val="baseline"/>
        <w:rPr>
          <w:rFonts w:eastAsia="Calibri" w:cs="Arial"/>
        </w:rPr>
      </w:pPr>
      <w:r w:rsidRPr="00BA3CA5">
        <w:rPr>
          <w:rFonts w:ascii="ArialMT" w:eastAsia="Calibri" w:hAnsi="ArialMT" w:cs="ArialMT"/>
          <w:szCs w:val="24"/>
          <w:lang w:eastAsia="en-GB"/>
        </w:rPr>
        <w:t xml:space="preserve">The total contract value for the service is £341,655 per annum across both Lots 1 and 2, totalling £1,024,965 over the initial period of three years and £1,708,275 with the two additional extension years. </w:t>
      </w:r>
    </w:p>
    <w:p w14:paraId="4E4CC204" w14:textId="77777777" w:rsidR="00BA3CA5" w:rsidRPr="00BA3CA5" w:rsidRDefault="00BA3CA5" w:rsidP="00BA3CA5">
      <w:pPr>
        <w:suppressAutoHyphens/>
        <w:autoSpaceDN w:val="0"/>
        <w:ind w:left="720"/>
        <w:textAlignment w:val="baseline"/>
        <w:rPr>
          <w:rFonts w:ascii="ArialMT" w:eastAsia="Calibri" w:hAnsi="ArialMT" w:cs="ArialMT"/>
          <w:szCs w:val="24"/>
          <w:lang w:eastAsia="en-GB"/>
        </w:rPr>
      </w:pPr>
    </w:p>
    <w:p w14:paraId="71BBFCBA" w14:textId="5D41163B" w:rsidR="00BA3CA5" w:rsidRPr="00BA3CA5" w:rsidRDefault="2193E0C3" w:rsidP="00BA3CA5">
      <w:pPr>
        <w:numPr>
          <w:ilvl w:val="2"/>
          <w:numId w:val="24"/>
        </w:numPr>
        <w:suppressAutoHyphens/>
        <w:autoSpaceDN w:val="0"/>
        <w:textAlignment w:val="baseline"/>
        <w:rPr>
          <w:rFonts w:eastAsia="Calibri" w:cs="Arial"/>
        </w:rPr>
      </w:pPr>
      <w:r w:rsidRPr="1E5D196F">
        <w:rPr>
          <w:rFonts w:ascii="ArialMT" w:eastAsia="Calibri" w:hAnsi="ArialMT" w:cs="ArialMT"/>
          <w:lang w:eastAsia="en-GB"/>
        </w:rPr>
        <w:t xml:space="preserve">£221,655 </w:t>
      </w:r>
      <w:r w:rsidR="00AB593F">
        <w:rPr>
          <w:rFonts w:ascii="ArialMT" w:eastAsia="Calibri" w:hAnsi="ArialMT" w:cs="ArialMT"/>
          <w:lang w:eastAsia="en-GB"/>
        </w:rPr>
        <w:t>f</w:t>
      </w:r>
      <w:r w:rsidR="00BA3CA5" w:rsidRPr="1E5D196F">
        <w:rPr>
          <w:rFonts w:ascii="ArialMT" w:eastAsia="Calibri" w:hAnsi="ArialMT" w:cs="ArialMT"/>
          <w:lang w:eastAsia="en-GB"/>
        </w:rPr>
        <w:t>unding for the new service has been confirmed and pooled from across various service areas and directorates</w:t>
      </w:r>
      <w:r w:rsidR="75AE46D4" w:rsidRPr="1E5D196F">
        <w:rPr>
          <w:rFonts w:ascii="ArialMT" w:eastAsia="Calibri" w:hAnsi="ArialMT" w:cs="ArialMT"/>
          <w:lang w:eastAsia="en-GB"/>
        </w:rPr>
        <w:t xml:space="preserve"> for the full term of three years and t</w:t>
      </w:r>
      <w:r w:rsidR="5208D949" w:rsidRPr="1E5D196F">
        <w:rPr>
          <w:rFonts w:ascii="ArialMT" w:eastAsia="Calibri" w:hAnsi="ArialMT" w:cs="ArialMT"/>
          <w:lang w:eastAsia="en-GB"/>
        </w:rPr>
        <w:t>wo</w:t>
      </w:r>
      <w:r w:rsidR="75AE46D4" w:rsidRPr="1E5D196F">
        <w:rPr>
          <w:rFonts w:ascii="ArialMT" w:eastAsia="Calibri" w:hAnsi="ArialMT" w:cs="ArialMT"/>
          <w:lang w:eastAsia="en-GB"/>
        </w:rPr>
        <w:t xml:space="preserve"> additional extension years</w:t>
      </w:r>
      <w:r w:rsidR="00BA3CA5" w:rsidRPr="1E5D196F">
        <w:rPr>
          <w:rFonts w:ascii="ArialMT" w:eastAsia="Calibri" w:hAnsi="ArialMT" w:cs="ArialMT"/>
          <w:lang w:eastAsia="en-GB"/>
        </w:rPr>
        <w:t>.</w:t>
      </w:r>
      <w:r w:rsidR="511D03DC" w:rsidRPr="1E5D196F">
        <w:rPr>
          <w:rFonts w:ascii="ArialMT" w:eastAsia="Calibri" w:hAnsi="ArialMT" w:cs="ArialMT"/>
          <w:lang w:eastAsia="en-GB"/>
        </w:rPr>
        <w:t xml:space="preserve"> £120,000 funding comes from the </w:t>
      </w:r>
      <w:r w:rsidR="511D03DC" w:rsidRPr="1E5D196F">
        <w:rPr>
          <w:lang w:val="en-US"/>
        </w:rPr>
        <w:t>London Crime Prevention Fund (LCPF)</w:t>
      </w:r>
      <w:r w:rsidR="5F7D048D" w:rsidRPr="1E5D196F">
        <w:rPr>
          <w:rFonts w:ascii="ArialMT" w:eastAsia="Calibri" w:hAnsi="ArialMT" w:cs="ArialMT"/>
          <w:lang w:eastAsia="en-GB"/>
        </w:rPr>
        <w:t xml:space="preserve"> </w:t>
      </w:r>
      <w:r w:rsidR="52B8D43D" w:rsidRPr="1E5D196F">
        <w:rPr>
          <w:rFonts w:ascii="ArialMT" w:eastAsia="Calibri" w:hAnsi="ArialMT" w:cs="ArialMT"/>
          <w:lang w:eastAsia="en-GB"/>
        </w:rPr>
        <w:t>and this has been confirmed for the first 2 years of the contract only.  Should the fu</w:t>
      </w:r>
      <w:r w:rsidR="40FEF28C" w:rsidRPr="1E5D196F">
        <w:rPr>
          <w:rFonts w:ascii="ArialMT" w:eastAsia="Calibri" w:hAnsi="ArialMT" w:cs="ArialMT"/>
          <w:lang w:eastAsia="en-GB"/>
        </w:rPr>
        <w:t xml:space="preserve">nding not continue beyond the initial 2 years, the contract will need to </w:t>
      </w:r>
      <w:r w:rsidR="084F9EC5" w:rsidRPr="1E5D196F">
        <w:rPr>
          <w:rFonts w:ascii="ArialMT" w:eastAsia="Calibri" w:hAnsi="ArialMT" w:cs="ArialMT"/>
          <w:lang w:eastAsia="en-GB"/>
        </w:rPr>
        <w:t>have a variation included to reduce the value of the service by £120,000.</w:t>
      </w:r>
      <w:r w:rsidR="5F7D048D" w:rsidRPr="1E5D196F">
        <w:rPr>
          <w:rFonts w:ascii="ArialMT" w:eastAsia="Calibri" w:hAnsi="ArialMT" w:cs="ArialMT"/>
          <w:lang w:eastAsia="en-GB"/>
        </w:rPr>
        <w:t xml:space="preserve"> </w:t>
      </w:r>
    </w:p>
    <w:p w14:paraId="53DB4D47" w14:textId="77777777" w:rsidR="00BA3CA5" w:rsidRPr="00BA3CA5" w:rsidRDefault="00BA3CA5" w:rsidP="00BA3CA5">
      <w:pPr>
        <w:suppressAutoHyphens/>
        <w:autoSpaceDN w:val="0"/>
        <w:ind w:firstLine="720"/>
        <w:jc w:val="both"/>
        <w:textAlignment w:val="baseline"/>
        <w:rPr>
          <w:rFonts w:cs="Arial"/>
          <w:bCs/>
          <w:szCs w:val="24"/>
        </w:rPr>
      </w:pPr>
    </w:p>
    <w:p w14:paraId="1F30713D" w14:textId="4B3A0561" w:rsidR="00BA3CA5" w:rsidRPr="00BA3CA5" w:rsidRDefault="00BA3CA5" w:rsidP="00BA3CA5">
      <w:pPr>
        <w:suppressAutoHyphens/>
        <w:autoSpaceDN w:val="0"/>
        <w:ind w:firstLine="720"/>
        <w:jc w:val="both"/>
        <w:textAlignment w:val="baseline"/>
      </w:pPr>
      <w:r w:rsidRPr="00BA3CA5">
        <w:rPr>
          <w:rFonts w:cs="Arial"/>
          <w:bCs/>
          <w:szCs w:val="24"/>
        </w:rPr>
        <w:t xml:space="preserve">Please see </w:t>
      </w:r>
      <w:r w:rsidRPr="00BA3CA5">
        <w:rPr>
          <w:rFonts w:cs="Arial"/>
          <w:b/>
          <w:bCs/>
          <w:szCs w:val="24"/>
        </w:rPr>
        <w:t xml:space="preserve">Financial Implications </w:t>
      </w:r>
      <w:r w:rsidR="005669CC" w:rsidRPr="00CA0750">
        <w:rPr>
          <w:rFonts w:cs="Arial"/>
          <w:szCs w:val="24"/>
        </w:rPr>
        <w:t xml:space="preserve">Section 10 </w:t>
      </w:r>
      <w:r w:rsidRPr="00CA0750">
        <w:rPr>
          <w:rFonts w:cs="Arial"/>
          <w:szCs w:val="24"/>
        </w:rPr>
        <w:t>for further details</w:t>
      </w:r>
      <w:r w:rsidRPr="00BA3CA5">
        <w:rPr>
          <w:rFonts w:cs="Arial"/>
          <w:b/>
          <w:bCs/>
          <w:szCs w:val="24"/>
        </w:rPr>
        <w:t>.</w:t>
      </w:r>
    </w:p>
    <w:p w14:paraId="2074FFD6" w14:textId="77777777" w:rsidR="00BA3CA5" w:rsidRPr="00BA3CA5" w:rsidRDefault="00BA3CA5" w:rsidP="00BA3CA5">
      <w:pPr>
        <w:suppressAutoHyphens/>
        <w:autoSpaceDN w:val="0"/>
        <w:textAlignment w:val="baseline"/>
        <w:rPr>
          <w:szCs w:val="24"/>
        </w:rPr>
      </w:pPr>
    </w:p>
    <w:p w14:paraId="438783F1" w14:textId="77777777" w:rsidR="00BA3CA5" w:rsidRPr="00BA3CA5" w:rsidRDefault="00BA3CA5" w:rsidP="00D47269">
      <w:pPr>
        <w:keepNext/>
        <w:tabs>
          <w:tab w:val="left" w:pos="567"/>
        </w:tabs>
        <w:suppressAutoHyphens/>
        <w:autoSpaceDN w:val="0"/>
        <w:textAlignment w:val="baseline"/>
        <w:outlineLvl w:val="3"/>
        <w:rPr>
          <w:rFonts w:cs="Arial"/>
          <w:b/>
          <w:szCs w:val="24"/>
        </w:rPr>
      </w:pPr>
      <w:r w:rsidRPr="00BA3CA5">
        <w:rPr>
          <w:rFonts w:cs="Arial"/>
          <w:b/>
          <w:szCs w:val="24"/>
        </w:rPr>
        <w:t xml:space="preserve">6. 2 </w:t>
      </w:r>
      <w:r w:rsidRPr="00BA3CA5">
        <w:rPr>
          <w:rFonts w:cs="Arial"/>
          <w:b/>
          <w:szCs w:val="24"/>
        </w:rPr>
        <w:tab/>
        <w:t xml:space="preserve"> Staffing/workforce </w:t>
      </w:r>
    </w:p>
    <w:p w14:paraId="40DD8E2A" w14:textId="77777777" w:rsidR="00BA3CA5" w:rsidRPr="00BA3CA5" w:rsidRDefault="00BA3CA5" w:rsidP="00BA3CA5">
      <w:pPr>
        <w:suppressAutoHyphens/>
        <w:autoSpaceDN w:val="0"/>
        <w:textAlignment w:val="baseline"/>
      </w:pPr>
    </w:p>
    <w:p w14:paraId="3DDCEF8C" w14:textId="6DFF1793" w:rsidR="00BA3CA5" w:rsidRPr="00370248" w:rsidRDefault="00BA3CA5" w:rsidP="00370248">
      <w:pPr>
        <w:numPr>
          <w:ilvl w:val="2"/>
          <w:numId w:val="25"/>
        </w:numPr>
        <w:suppressAutoHyphens/>
        <w:autoSpaceDN w:val="0"/>
        <w:jc w:val="both"/>
        <w:textAlignment w:val="baseline"/>
        <w:rPr>
          <w:b/>
        </w:rPr>
      </w:pPr>
      <w:r w:rsidRPr="00370248">
        <w:rPr>
          <w:rFonts w:eastAsia="Calibri" w:cs="Arial"/>
          <w:szCs w:val="24"/>
        </w:rPr>
        <w:t xml:space="preserve">The Council will advise bidders </w:t>
      </w:r>
      <w:r w:rsidR="00241C9A" w:rsidRPr="00370248">
        <w:rPr>
          <w:rFonts w:eastAsia="Calibri" w:cs="Arial"/>
          <w:szCs w:val="24"/>
        </w:rPr>
        <w:t xml:space="preserve">if </w:t>
      </w:r>
      <w:r w:rsidRPr="00370248">
        <w:rPr>
          <w:rFonts w:eastAsia="Calibri" w:cs="Arial"/>
          <w:szCs w:val="24"/>
        </w:rPr>
        <w:t>the Transfer of Undertakings</w:t>
      </w:r>
      <w:r w:rsidRPr="00241C9A">
        <w:rPr>
          <w:rFonts w:eastAsia="Calibri" w:cs="Arial"/>
          <w:szCs w:val="24"/>
        </w:rPr>
        <w:t xml:space="preserve"> (Protection of Employment) Regulations 2006 (“TUPE”) and/or Property lease/rental agreements apply to the new contract. </w:t>
      </w:r>
    </w:p>
    <w:p w14:paraId="2E5AAFF0" w14:textId="77777777" w:rsidR="00370248" w:rsidRPr="00241C9A" w:rsidRDefault="00370248" w:rsidP="00370248">
      <w:pPr>
        <w:suppressAutoHyphens/>
        <w:autoSpaceDN w:val="0"/>
        <w:jc w:val="both"/>
        <w:textAlignment w:val="baseline"/>
        <w:rPr>
          <w:b/>
        </w:rPr>
      </w:pPr>
    </w:p>
    <w:p w14:paraId="7D38BFA9" w14:textId="77777777" w:rsidR="00BA3CA5" w:rsidRPr="00BA3CA5" w:rsidRDefault="00BA3CA5" w:rsidP="00E34337">
      <w:pPr>
        <w:keepNext/>
        <w:numPr>
          <w:ilvl w:val="1"/>
          <w:numId w:val="25"/>
        </w:numPr>
        <w:tabs>
          <w:tab w:val="left" w:pos="-8126"/>
        </w:tabs>
        <w:suppressAutoHyphens/>
        <w:autoSpaceDN w:val="0"/>
        <w:jc w:val="both"/>
        <w:textAlignment w:val="baseline"/>
        <w:outlineLvl w:val="3"/>
        <w:rPr>
          <w:rFonts w:cs="Arial"/>
          <w:b/>
          <w:szCs w:val="24"/>
        </w:rPr>
      </w:pPr>
      <w:r w:rsidRPr="00BA3CA5">
        <w:rPr>
          <w:rFonts w:cs="Arial"/>
          <w:b/>
          <w:szCs w:val="24"/>
        </w:rPr>
        <w:t>Performance Management</w:t>
      </w:r>
    </w:p>
    <w:p w14:paraId="051DA9DD" w14:textId="77777777" w:rsidR="00BA3CA5" w:rsidRPr="00BA3CA5" w:rsidRDefault="00BA3CA5" w:rsidP="00BA3CA5">
      <w:pPr>
        <w:tabs>
          <w:tab w:val="left" w:pos="7245"/>
        </w:tabs>
        <w:suppressAutoHyphens/>
        <w:autoSpaceDN w:val="0"/>
        <w:jc w:val="both"/>
        <w:textAlignment w:val="baseline"/>
      </w:pPr>
    </w:p>
    <w:p w14:paraId="5E0A3350" w14:textId="77777777" w:rsidR="00BA3CA5" w:rsidRPr="00BA3CA5" w:rsidRDefault="00BA3CA5" w:rsidP="00BA3CA5">
      <w:pPr>
        <w:numPr>
          <w:ilvl w:val="2"/>
          <w:numId w:val="25"/>
        </w:numPr>
        <w:tabs>
          <w:tab w:val="left" w:pos="7245"/>
        </w:tabs>
        <w:suppressAutoHyphens/>
        <w:autoSpaceDN w:val="0"/>
        <w:jc w:val="both"/>
        <w:textAlignment w:val="baseline"/>
        <w:rPr>
          <w:rFonts w:eastAsia="Calibri" w:cs="Arial"/>
        </w:rPr>
      </w:pPr>
      <w:r w:rsidRPr="00BA3CA5">
        <w:rPr>
          <w:rFonts w:eastAsia="Calibri" w:cs="Arial"/>
        </w:rPr>
        <w:t>T</w:t>
      </w:r>
      <w:r w:rsidRPr="00BA3CA5">
        <w:rPr>
          <w:rFonts w:eastAsia="Calibri" w:cs="Arial"/>
          <w:iCs/>
          <w:szCs w:val="24"/>
        </w:rPr>
        <w:t>he contract’s performance feeds into the delivery of the priorities of the Community Safety and Violence Vulnerability and Exploitation Strategy.</w:t>
      </w:r>
    </w:p>
    <w:p w14:paraId="485F6E76" w14:textId="77777777" w:rsidR="00BA3CA5" w:rsidRPr="00BA3CA5" w:rsidRDefault="00BA3CA5" w:rsidP="00BA3CA5">
      <w:pPr>
        <w:tabs>
          <w:tab w:val="left" w:pos="7245"/>
        </w:tabs>
        <w:suppressAutoHyphens/>
        <w:autoSpaceDN w:val="0"/>
        <w:ind w:left="720"/>
        <w:jc w:val="both"/>
        <w:textAlignment w:val="baseline"/>
        <w:rPr>
          <w:rFonts w:eastAsia="Calibri" w:cs="Arial"/>
        </w:rPr>
      </w:pPr>
    </w:p>
    <w:p w14:paraId="101D7C03" w14:textId="77777777" w:rsidR="00BA3CA5" w:rsidRPr="00BA3CA5" w:rsidRDefault="00BA3CA5" w:rsidP="00BA3CA5">
      <w:pPr>
        <w:numPr>
          <w:ilvl w:val="2"/>
          <w:numId w:val="25"/>
        </w:numPr>
        <w:tabs>
          <w:tab w:val="left" w:pos="7245"/>
        </w:tabs>
        <w:suppressAutoHyphens/>
        <w:autoSpaceDN w:val="0"/>
        <w:jc w:val="both"/>
        <w:textAlignment w:val="baseline"/>
        <w:rPr>
          <w:rFonts w:eastAsia="Calibri" w:cs="Arial"/>
        </w:rPr>
      </w:pPr>
      <w:r w:rsidRPr="00BA3CA5">
        <w:rPr>
          <w:rFonts w:eastAsia="Calibri" w:cs="Arial"/>
          <w:iCs/>
          <w:szCs w:val="24"/>
        </w:rPr>
        <w:lastRenderedPageBreak/>
        <w:t>Performance and outcomes of the service are assessed on a quarterly basis against performance indicators, which incorporate KPIs and requirements of the Public Health grant conditions.</w:t>
      </w:r>
      <w:r w:rsidRPr="00BA3CA5">
        <w:rPr>
          <w:rFonts w:eastAsia="Calibri" w:cs="Arial"/>
        </w:rPr>
        <w:t xml:space="preserve"> </w:t>
      </w:r>
    </w:p>
    <w:p w14:paraId="562B3C15" w14:textId="77777777" w:rsidR="00BA3CA5" w:rsidRPr="00BA3CA5" w:rsidRDefault="00BA3CA5" w:rsidP="00BA3CA5">
      <w:pPr>
        <w:tabs>
          <w:tab w:val="left" w:pos="7245"/>
        </w:tabs>
        <w:suppressAutoHyphens/>
        <w:autoSpaceDN w:val="0"/>
        <w:jc w:val="both"/>
        <w:textAlignment w:val="baseline"/>
      </w:pPr>
    </w:p>
    <w:p w14:paraId="53ACC5EC" w14:textId="27C04FBE" w:rsidR="00BA3CA5" w:rsidRPr="00BA3CA5" w:rsidRDefault="00BA3CA5" w:rsidP="00BA3CA5">
      <w:pPr>
        <w:numPr>
          <w:ilvl w:val="2"/>
          <w:numId w:val="25"/>
        </w:numPr>
        <w:tabs>
          <w:tab w:val="left" w:pos="7245"/>
        </w:tabs>
        <w:suppressAutoHyphens/>
        <w:autoSpaceDN w:val="0"/>
        <w:jc w:val="both"/>
        <w:textAlignment w:val="baseline"/>
        <w:rPr>
          <w:rFonts w:eastAsia="Calibri" w:cs="Arial"/>
          <w:iCs/>
          <w:szCs w:val="24"/>
        </w:rPr>
      </w:pPr>
      <w:r w:rsidRPr="00BA3CA5">
        <w:rPr>
          <w:rFonts w:eastAsia="Calibri" w:cs="Arial"/>
          <w:iCs/>
          <w:szCs w:val="24"/>
        </w:rPr>
        <w:t>Quarterly performance monitoring meetings will continue to be held with the provider and attended by service leads across Peoples, Policy and Housing.</w:t>
      </w:r>
      <w:r w:rsidR="009A1360">
        <w:rPr>
          <w:rFonts w:eastAsia="Calibri" w:cs="Arial"/>
          <w:iCs/>
          <w:szCs w:val="24"/>
        </w:rPr>
        <w:t xml:space="preserve"> </w:t>
      </w:r>
      <w:r w:rsidR="001874C2">
        <w:rPr>
          <w:rFonts w:eastAsia="Calibri" w:cs="Arial"/>
          <w:iCs/>
          <w:szCs w:val="24"/>
        </w:rPr>
        <w:t xml:space="preserve">These meetings are in addition to </w:t>
      </w:r>
      <w:r w:rsidR="007236D5">
        <w:rPr>
          <w:rFonts w:eastAsia="Calibri" w:cs="Arial"/>
          <w:iCs/>
          <w:szCs w:val="24"/>
        </w:rPr>
        <w:t xml:space="preserve">the </w:t>
      </w:r>
      <w:r w:rsidR="001874C2">
        <w:rPr>
          <w:rFonts w:eastAsia="Calibri" w:cs="Arial"/>
          <w:iCs/>
          <w:szCs w:val="24"/>
        </w:rPr>
        <w:t>data which is submitted</w:t>
      </w:r>
      <w:r w:rsidR="007236D5" w:rsidRPr="007236D5">
        <w:rPr>
          <w:rFonts w:eastAsia="Calibri" w:cs="Arial"/>
          <w:iCs/>
          <w:szCs w:val="24"/>
        </w:rPr>
        <w:t xml:space="preserve"> </w:t>
      </w:r>
      <w:r w:rsidR="007236D5">
        <w:rPr>
          <w:rFonts w:eastAsia="Calibri" w:cs="Arial"/>
          <w:iCs/>
          <w:szCs w:val="24"/>
        </w:rPr>
        <w:t>quarterly</w:t>
      </w:r>
      <w:r w:rsidR="00840F3E">
        <w:rPr>
          <w:rFonts w:eastAsia="Calibri" w:cs="Arial"/>
          <w:iCs/>
          <w:szCs w:val="24"/>
        </w:rPr>
        <w:t xml:space="preserve">, and provide an opportunity to </w:t>
      </w:r>
      <w:r w:rsidR="00ED2DCD">
        <w:rPr>
          <w:rFonts w:eastAsia="Calibri" w:cs="Arial"/>
          <w:iCs/>
          <w:szCs w:val="24"/>
        </w:rPr>
        <w:t xml:space="preserve">gain an increased understanding </w:t>
      </w:r>
      <w:r w:rsidR="005E4178">
        <w:rPr>
          <w:rFonts w:eastAsia="Calibri" w:cs="Arial"/>
          <w:iCs/>
          <w:szCs w:val="24"/>
        </w:rPr>
        <w:t xml:space="preserve">of how the </w:t>
      </w:r>
      <w:r w:rsidR="000F41AC">
        <w:rPr>
          <w:rFonts w:eastAsia="Calibri" w:cs="Arial"/>
          <w:iCs/>
          <w:szCs w:val="24"/>
        </w:rPr>
        <w:t xml:space="preserve">services are </w:t>
      </w:r>
      <w:r w:rsidR="001F378E">
        <w:rPr>
          <w:rFonts w:eastAsia="Calibri" w:cs="Arial"/>
          <w:iCs/>
          <w:szCs w:val="24"/>
        </w:rPr>
        <w:t>working to meet their KPIs</w:t>
      </w:r>
      <w:r w:rsidR="00E61CE7">
        <w:rPr>
          <w:rFonts w:eastAsia="Calibri" w:cs="Arial"/>
          <w:iCs/>
          <w:szCs w:val="24"/>
        </w:rPr>
        <w:t>. This includes t</w:t>
      </w:r>
      <w:r w:rsidR="001734DE">
        <w:rPr>
          <w:rFonts w:eastAsia="Calibri" w:cs="Arial"/>
          <w:iCs/>
          <w:szCs w:val="24"/>
        </w:rPr>
        <w:t xml:space="preserve">he number of referrals, source of referrals </w:t>
      </w:r>
      <w:r w:rsidR="001E2E5B">
        <w:rPr>
          <w:rFonts w:eastAsia="Calibri" w:cs="Arial"/>
          <w:iCs/>
          <w:szCs w:val="24"/>
        </w:rPr>
        <w:t xml:space="preserve">and how the service has improved the </w:t>
      </w:r>
      <w:r w:rsidR="002F1927">
        <w:rPr>
          <w:rFonts w:eastAsia="Calibri" w:cs="Arial"/>
          <w:iCs/>
          <w:szCs w:val="24"/>
        </w:rPr>
        <w:t>health, wellbeing, stability and independence of the client.</w:t>
      </w:r>
    </w:p>
    <w:p w14:paraId="2631D5D6" w14:textId="77777777" w:rsidR="00BA3CA5" w:rsidRPr="00BA3CA5" w:rsidRDefault="00BA3CA5" w:rsidP="00BA3CA5">
      <w:pPr>
        <w:tabs>
          <w:tab w:val="left" w:pos="7245"/>
        </w:tabs>
        <w:suppressAutoHyphens/>
        <w:autoSpaceDN w:val="0"/>
        <w:jc w:val="both"/>
        <w:textAlignment w:val="baseline"/>
        <w:rPr>
          <w:iCs/>
          <w:szCs w:val="24"/>
        </w:rPr>
      </w:pPr>
    </w:p>
    <w:p w14:paraId="60E54A2F" w14:textId="77777777" w:rsidR="00BA3CA5" w:rsidRPr="00BA3CA5" w:rsidRDefault="00BA3CA5" w:rsidP="00BA3CA5">
      <w:pPr>
        <w:keepNext/>
        <w:numPr>
          <w:ilvl w:val="1"/>
          <w:numId w:val="25"/>
        </w:numPr>
        <w:tabs>
          <w:tab w:val="left" w:pos="-11159"/>
        </w:tabs>
        <w:suppressAutoHyphens/>
        <w:autoSpaceDN w:val="0"/>
        <w:jc w:val="both"/>
        <w:textAlignment w:val="baseline"/>
        <w:outlineLvl w:val="3"/>
        <w:rPr>
          <w:rFonts w:cs="Arial"/>
          <w:b/>
          <w:szCs w:val="24"/>
        </w:rPr>
      </w:pPr>
      <w:r w:rsidRPr="00BA3CA5">
        <w:rPr>
          <w:rFonts w:cs="Arial"/>
          <w:b/>
          <w:szCs w:val="24"/>
        </w:rPr>
        <w:t xml:space="preserve">  Environmental Implications</w:t>
      </w:r>
    </w:p>
    <w:p w14:paraId="575BC5F0" w14:textId="77777777" w:rsidR="00BA3CA5" w:rsidRPr="00BA3CA5" w:rsidRDefault="00BA3CA5" w:rsidP="00BA3CA5">
      <w:pPr>
        <w:suppressAutoHyphens/>
        <w:autoSpaceDN w:val="0"/>
        <w:jc w:val="both"/>
        <w:textAlignment w:val="baseline"/>
      </w:pPr>
    </w:p>
    <w:p w14:paraId="76C5725C" w14:textId="77777777" w:rsidR="00BA3CA5" w:rsidRPr="00BA3CA5" w:rsidRDefault="00BA3CA5" w:rsidP="00BA3CA5">
      <w:pPr>
        <w:suppressAutoHyphens/>
        <w:autoSpaceDN w:val="0"/>
        <w:ind w:left="720"/>
        <w:jc w:val="both"/>
        <w:textAlignment w:val="baseline"/>
      </w:pPr>
      <w:r w:rsidRPr="00BA3CA5">
        <w:t>The service does not have a significant impact on the environment. However, the providers will be required to demonstrate their ability to meet the Council’s Climate Change obligations in ensuring that they have put in place measures to reduce waste, minimise unnecessary travel and adopt energy efficient practices.</w:t>
      </w:r>
    </w:p>
    <w:p w14:paraId="0FC11C06" w14:textId="77777777" w:rsidR="00BA3CA5" w:rsidRPr="00BA3CA5" w:rsidRDefault="00BA3CA5" w:rsidP="00BA3CA5">
      <w:pPr>
        <w:suppressAutoHyphens/>
        <w:autoSpaceDN w:val="0"/>
        <w:ind w:left="720"/>
        <w:jc w:val="both"/>
        <w:textAlignment w:val="baseline"/>
      </w:pPr>
    </w:p>
    <w:p w14:paraId="7E5CDB88" w14:textId="77777777" w:rsidR="00BA3CA5" w:rsidRPr="00BA3CA5" w:rsidRDefault="00BA3CA5" w:rsidP="00BA3CA5">
      <w:pPr>
        <w:keepNext/>
        <w:suppressAutoHyphens/>
        <w:autoSpaceDN w:val="0"/>
        <w:jc w:val="both"/>
        <w:textAlignment w:val="baseline"/>
        <w:outlineLvl w:val="3"/>
        <w:rPr>
          <w:rFonts w:cs="Arial"/>
          <w:b/>
          <w:szCs w:val="24"/>
        </w:rPr>
      </w:pPr>
      <w:r w:rsidRPr="00BA3CA5">
        <w:rPr>
          <w:rFonts w:cs="Arial"/>
          <w:b/>
          <w:szCs w:val="24"/>
        </w:rPr>
        <w:t>6.5</w:t>
      </w:r>
      <w:r w:rsidRPr="00BA3CA5">
        <w:rPr>
          <w:rFonts w:cs="Arial"/>
          <w:b/>
          <w:szCs w:val="24"/>
        </w:rPr>
        <w:tab/>
        <w:t>Data Protection Implications</w:t>
      </w:r>
    </w:p>
    <w:p w14:paraId="4B5EE9F1" w14:textId="77777777" w:rsidR="00BA3CA5" w:rsidRPr="00BA3CA5" w:rsidRDefault="00BA3CA5" w:rsidP="00BA3CA5">
      <w:pPr>
        <w:suppressAutoHyphens/>
        <w:autoSpaceDN w:val="0"/>
        <w:jc w:val="both"/>
        <w:textAlignment w:val="baseline"/>
      </w:pPr>
    </w:p>
    <w:p w14:paraId="13418E02" w14:textId="157DE332" w:rsidR="00BA3CA5" w:rsidRPr="00BA3CA5" w:rsidRDefault="00BA3CA5" w:rsidP="00BA3CA5">
      <w:pPr>
        <w:suppressAutoHyphens/>
        <w:autoSpaceDN w:val="0"/>
        <w:ind w:left="720" w:right="-55" w:hanging="720"/>
        <w:jc w:val="both"/>
        <w:textAlignment w:val="baseline"/>
        <w:rPr>
          <w:rFonts w:cs="Arial"/>
          <w:lang w:eastAsia="en-GB"/>
        </w:rPr>
      </w:pPr>
      <w:r w:rsidRPr="00BA3CA5">
        <w:rPr>
          <w:rFonts w:cs="Arial"/>
          <w:lang w:eastAsia="en-GB"/>
        </w:rPr>
        <w:t xml:space="preserve">6.5.1 </w:t>
      </w:r>
      <w:r>
        <w:tab/>
      </w:r>
      <w:r w:rsidRPr="7D006895">
        <w:rPr>
          <w:rFonts w:cs="Arial"/>
          <w:lang w:eastAsia="en-GB"/>
        </w:rPr>
        <w:t>The provider will be required to adhere to the Council’s Data Sharing Protocol (for the purposes of sharing some service user data with service areas across the Council and with external professionals). A Data Sharing Protocol will be drafted in line with guidance and approval by the Council’s Information Governance Lead.</w:t>
      </w:r>
      <w:r w:rsidR="001311CE" w:rsidRPr="7D006895">
        <w:rPr>
          <w:rFonts w:cs="Arial"/>
          <w:lang w:eastAsia="en-GB"/>
        </w:rPr>
        <w:t xml:space="preserve"> </w:t>
      </w:r>
      <w:r w:rsidR="5567A9C3" w:rsidRPr="2B35147B">
        <w:rPr>
          <w:rFonts w:cs="Arial"/>
          <w:lang w:eastAsia="en-GB"/>
        </w:rPr>
        <w:t xml:space="preserve">There will also be comprehensive data protection </w:t>
      </w:r>
      <w:r w:rsidR="5567A9C3" w:rsidRPr="5CE7BE16">
        <w:rPr>
          <w:rFonts w:cs="Arial"/>
          <w:lang w:eastAsia="en-GB"/>
        </w:rPr>
        <w:t xml:space="preserve">provisions </w:t>
      </w:r>
      <w:r w:rsidR="001311CE" w:rsidRPr="7D006895">
        <w:rPr>
          <w:rFonts w:cs="Arial"/>
          <w:lang w:eastAsia="en-GB"/>
        </w:rPr>
        <w:t xml:space="preserve">in the contracts </w:t>
      </w:r>
      <w:r w:rsidR="5567A9C3" w:rsidRPr="118F0ABE">
        <w:rPr>
          <w:rFonts w:cs="Arial"/>
          <w:lang w:eastAsia="en-GB"/>
        </w:rPr>
        <w:t xml:space="preserve">awarded </w:t>
      </w:r>
      <w:r w:rsidR="001311CE" w:rsidRPr="7D006895">
        <w:rPr>
          <w:rFonts w:cs="Arial"/>
          <w:lang w:eastAsia="en-GB"/>
        </w:rPr>
        <w:t>given both the sensitivity of the data and the confidence of victims and survivors to come forward and use the services.</w:t>
      </w:r>
    </w:p>
    <w:p w14:paraId="75284416" w14:textId="35371A3C" w:rsidR="00A81E19" w:rsidRDefault="002B40EE" w:rsidP="00A1211C">
      <w:pPr>
        <w:pStyle w:val="Heading3"/>
        <w:spacing w:before="480" w:after="240"/>
      </w:pPr>
      <w:r>
        <w:t xml:space="preserve">7. </w:t>
      </w:r>
      <w:r w:rsidR="00A81E19">
        <w:t>Risk Management Implications</w:t>
      </w:r>
    </w:p>
    <w:p w14:paraId="0B289C2F" w14:textId="384A5417" w:rsidR="00C53F1A" w:rsidRPr="00105B8A" w:rsidRDefault="00C53F1A" w:rsidP="00105B8A">
      <w:pPr>
        <w:tabs>
          <w:tab w:val="left" w:pos="5610"/>
        </w:tabs>
        <w:ind w:right="81"/>
        <w:rPr>
          <w:color w:val="0000FF"/>
        </w:rPr>
      </w:pPr>
      <w:bookmarkStart w:id="12" w:name="_Hlk60923477"/>
      <w:bookmarkStart w:id="13" w:name="_Hlk60922991"/>
      <w:bookmarkStart w:id="14" w:name="_Hlk60923939"/>
      <w:r>
        <w:rPr>
          <w:rFonts w:cs="Arial"/>
          <w:szCs w:val="24"/>
          <w:lang w:val="en-US"/>
        </w:rPr>
        <w:t xml:space="preserve">Risks included on corporate or directorate risk register? </w:t>
      </w:r>
      <w:r w:rsidR="004C29CF">
        <w:rPr>
          <w:rFonts w:cs="Arial"/>
          <w:b/>
          <w:bCs/>
          <w:szCs w:val="24"/>
          <w:lang w:val="en-US"/>
        </w:rPr>
        <w:t>No</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63704C61"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255CEB57"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80F87" w14:paraId="1404D484" w14:textId="77777777" w:rsidTr="2C0C79C5">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bookmarkEnd w:id="12"/>
          <w:p w14:paraId="756F1795" w14:textId="77777777" w:rsidR="00380F87" w:rsidRDefault="00380F87" w:rsidP="004877B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1E899FA" w14:textId="77777777" w:rsidR="00380F87" w:rsidRDefault="00380F87" w:rsidP="004877B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67E690" w14:textId="77777777" w:rsidR="00380F87" w:rsidRDefault="00380F87" w:rsidP="004877B2">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4B1F0661" w14:textId="77777777" w:rsidTr="2C0C79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8599A42" w14:textId="2AADFCA2" w:rsidR="00380F87" w:rsidRDefault="00990371" w:rsidP="004877B2">
            <w:pPr>
              <w:spacing w:line="247" w:lineRule="auto"/>
              <w:ind w:right="141"/>
              <w:rPr>
                <w:rFonts w:cs="Arial"/>
                <w:szCs w:val="24"/>
                <w:lang w:val="en-US" w:eastAsia="en-GB"/>
              </w:rPr>
            </w:pPr>
            <w:r>
              <w:rPr>
                <w:rFonts w:cs="Arial"/>
                <w:szCs w:val="24"/>
                <w:lang w:eastAsia="en-GB"/>
              </w:rPr>
              <w:t>I</w:t>
            </w:r>
            <w:r w:rsidR="00A94286">
              <w:rPr>
                <w:rFonts w:cs="Arial"/>
                <w:szCs w:val="24"/>
                <w:lang w:eastAsia="en-GB"/>
              </w:rPr>
              <w:t xml:space="preserve">nsufficient </w:t>
            </w:r>
            <w:r w:rsidR="00656A75">
              <w:rPr>
                <w:rFonts w:cs="Arial"/>
                <w:szCs w:val="24"/>
                <w:lang w:eastAsia="en-GB"/>
              </w:rPr>
              <w:t>funding for the t</w:t>
            </w:r>
            <w:r w:rsidR="00845C6D">
              <w:rPr>
                <w:rFonts w:cs="Arial"/>
                <w:szCs w:val="24"/>
                <w:lang w:eastAsia="en-GB"/>
              </w:rPr>
              <w:t>e</w:t>
            </w:r>
            <w:r w:rsidR="00656A75">
              <w:rPr>
                <w:rFonts w:cs="Arial"/>
                <w:szCs w:val="24"/>
                <w:lang w:eastAsia="en-GB"/>
              </w:rPr>
              <w:t>rm of the contract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92AAAFD" w14:textId="432CB70D" w:rsidR="008D21E7" w:rsidRPr="009F41DB" w:rsidRDefault="00165BDC" w:rsidP="007269CD">
            <w:pPr>
              <w:pStyle w:val="ListParagraph"/>
              <w:numPr>
                <w:ilvl w:val="0"/>
                <w:numId w:val="6"/>
              </w:numPr>
              <w:suppressAutoHyphens/>
              <w:autoSpaceDN w:val="0"/>
              <w:spacing w:line="247" w:lineRule="auto"/>
              <w:ind w:left="171" w:right="141" w:hanging="171"/>
              <w:rPr>
                <w:szCs w:val="24"/>
                <w:lang w:val="en-US"/>
              </w:rPr>
            </w:pPr>
            <w:r w:rsidRPr="00B9618A">
              <w:rPr>
                <w:szCs w:val="24"/>
                <w:lang w:val="en-US"/>
              </w:rPr>
              <w:t xml:space="preserve">The recommissioning </w:t>
            </w:r>
            <w:r w:rsidR="00E47778" w:rsidRPr="00B9618A">
              <w:rPr>
                <w:szCs w:val="24"/>
                <w:lang w:val="en-US"/>
              </w:rPr>
              <w:t xml:space="preserve">of the service </w:t>
            </w:r>
            <w:r w:rsidRPr="00B9618A">
              <w:rPr>
                <w:szCs w:val="24"/>
                <w:lang w:val="en-US"/>
              </w:rPr>
              <w:t xml:space="preserve">is </w:t>
            </w:r>
            <w:r w:rsidR="00446DD3" w:rsidRPr="00B9618A">
              <w:rPr>
                <w:szCs w:val="24"/>
                <w:lang w:val="en-US"/>
              </w:rPr>
              <w:t xml:space="preserve">initially </w:t>
            </w:r>
            <w:r w:rsidRPr="00B9618A">
              <w:rPr>
                <w:szCs w:val="24"/>
                <w:lang w:val="en-US"/>
              </w:rPr>
              <w:t xml:space="preserve">for </w:t>
            </w:r>
            <w:r w:rsidR="00446DD3" w:rsidRPr="00B9618A">
              <w:rPr>
                <w:szCs w:val="24"/>
                <w:lang w:val="en-US"/>
              </w:rPr>
              <w:t xml:space="preserve">the period </w:t>
            </w:r>
            <w:r w:rsidR="00E47778" w:rsidRPr="00B9618A">
              <w:rPr>
                <w:szCs w:val="24"/>
                <w:lang w:val="en-US"/>
              </w:rPr>
              <w:t>2023</w:t>
            </w:r>
            <w:r w:rsidR="000E1B82" w:rsidRPr="00B9618A">
              <w:rPr>
                <w:szCs w:val="24"/>
                <w:lang w:val="en-US"/>
              </w:rPr>
              <w:t>/24</w:t>
            </w:r>
            <w:r w:rsidR="00E47778" w:rsidRPr="00B9618A">
              <w:rPr>
                <w:szCs w:val="24"/>
                <w:lang w:val="en-US"/>
              </w:rPr>
              <w:t>-</w:t>
            </w:r>
            <w:r w:rsidR="000E1B82" w:rsidRPr="00B9618A">
              <w:rPr>
                <w:szCs w:val="24"/>
                <w:lang w:val="en-US"/>
              </w:rPr>
              <w:t>2025/</w:t>
            </w:r>
            <w:r w:rsidR="00E47778" w:rsidRPr="00B9618A">
              <w:rPr>
                <w:szCs w:val="24"/>
                <w:lang w:val="en-US"/>
              </w:rPr>
              <w:t>202</w:t>
            </w:r>
            <w:r w:rsidR="00446DD3" w:rsidRPr="00B9618A">
              <w:rPr>
                <w:szCs w:val="24"/>
                <w:lang w:val="en-US"/>
              </w:rPr>
              <w:t>6</w:t>
            </w:r>
            <w:r w:rsidR="00E47778" w:rsidRPr="00B9618A">
              <w:rPr>
                <w:szCs w:val="24"/>
                <w:lang w:val="en-US"/>
              </w:rPr>
              <w:t xml:space="preserve">, </w:t>
            </w:r>
            <w:r w:rsidR="00446DD3" w:rsidRPr="00B9618A">
              <w:rPr>
                <w:szCs w:val="24"/>
                <w:lang w:val="en-US"/>
              </w:rPr>
              <w:t xml:space="preserve">with the option for a further two years of extension to </w:t>
            </w:r>
            <w:r w:rsidR="000E1B82" w:rsidRPr="00B9618A">
              <w:rPr>
                <w:szCs w:val="24"/>
                <w:lang w:val="en-US"/>
              </w:rPr>
              <w:t>202</w:t>
            </w:r>
            <w:r w:rsidR="00436E00" w:rsidRPr="00B9618A">
              <w:rPr>
                <w:szCs w:val="24"/>
                <w:lang w:val="en-US"/>
              </w:rPr>
              <w:t>7/</w:t>
            </w:r>
            <w:r w:rsidR="008E2F86" w:rsidRPr="00B9618A">
              <w:rPr>
                <w:szCs w:val="24"/>
                <w:lang w:val="en-US"/>
              </w:rPr>
              <w:t>2028</w:t>
            </w:r>
            <w:r w:rsidR="00237F0C" w:rsidRPr="00B9618A">
              <w:rPr>
                <w:szCs w:val="24"/>
                <w:lang w:val="en-US"/>
              </w:rPr>
              <w:t xml:space="preserve">, </w:t>
            </w:r>
            <w:r w:rsidR="00E47778" w:rsidRPr="00B9618A">
              <w:rPr>
                <w:szCs w:val="24"/>
                <w:lang w:val="en-US"/>
              </w:rPr>
              <w:t xml:space="preserve">but </w:t>
            </w:r>
            <w:r w:rsidR="00BF31CF" w:rsidRPr="00B9618A">
              <w:rPr>
                <w:szCs w:val="24"/>
                <w:lang w:val="en-US"/>
              </w:rPr>
              <w:t xml:space="preserve">the </w:t>
            </w:r>
            <w:r w:rsidR="00BF31CF" w:rsidRPr="00B9618A">
              <w:rPr>
                <w:szCs w:val="24"/>
                <w:lang w:val="en-US"/>
              </w:rPr>
              <w:lastRenderedPageBreak/>
              <w:t xml:space="preserve">current </w:t>
            </w:r>
            <w:r w:rsidR="00E47778" w:rsidRPr="00B9618A">
              <w:rPr>
                <w:szCs w:val="24"/>
                <w:lang w:val="en-US"/>
              </w:rPr>
              <w:t>total f</w:t>
            </w:r>
            <w:r w:rsidR="002C2E0E" w:rsidRPr="00B9618A">
              <w:rPr>
                <w:szCs w:val="24"/>
                <w:lang w:val="en-US"/>
              </w:rPr>
              <w:t xml:space="preserve">unding secured </w:t>
            </w:r>
            <w:r w:rsidR="00BF31CF" w:rsidRPr="00B9618A">
              <w:rPr>
                <w:szCs w:val="24"/>
                <w:lang w:val="en-US"/>
              </w:rPr>
              <w:t xml:space="preserve">is </w:t>
            </w:r>
            <w:r w:rsidR="002C2E0E" w:rsidRPr="00B9618A">
              <w:rPr>
                <w:szCs w:val="24"/>
                <w:lang w:val="en-US"/>
              </w:rPr>
              <w:t xml:space="preserve">for the contract period </w:t>
            </w:r>
            <w:r w:rsidR="003375E7" w:rsidRPr="00B9618A">
              <w:rPr>
                <w:szCs w:val="24"/>
                <w:lang w:val="en-US"/>
              </w:rPr>
              <w:t>2023</w:t>
            </w:r>
            <w:r w:rsidR="00436E00" w:rsidRPr="00B9618A">
              <w:rPr>
                <w:szCs w:val="24"/>
                <w:lang w:val="en-US"/>
              </w:rPr>
              <w:t>/24</w:t>
            </w:r>
            <w:r w:rsidR="00B9618A">
              <w:rPr>
                <w:szCs w:val="24"/>
                <w:lang w:val="en-US"/>
              </w:rPr>
              <w:t xml:space="preserve"> </w:t>
            </w:r>
            <w:r w:rsidR="003375E7" w:rsidRPr="00B9618A">
              <w:rPr>
                <w:szCs w:val="24"/>
                <w:lang w:val="en-US"/>
              </w:rPr>
              <w:t>-</w:t>
            </w:r>
            <w:r w:rsidR="00436E00" w:rsidRPr="00B9618A">
              <w:rPr>
                <w:szCs w:val="24"/>
                <w:lang w:val="en-US"/>
              </w:rPr>
              <w:t xml:space="preserve"> 2024/</w:t>
            </w:r>
            <w:r w:rsidR="003375E7" w:rsidRPr="00B9618A">
              <w:rPr>
                <w:szCs w:val="24"/>
                <w:lang w:val="en-US"/>
              </w:rPr>
              <w:t>2025</w:t>
            </w:r>
            <w:r w:rsidR="00E47778" w:rsidRPr="00B9618A">
              <w:rPr>
                <w:szCs w:val="24"/>
                <w:lang w:val="en-US"/>
              </w:rPr>
              <w:t>.</w:t>
            </w:r>
            <w:r w:rsidR="00451B41" w:rsidRPr="00B9618A">
              <w:rPr>
                <w:szCs w:val="24"/>
                <w:lang w:val="en-US"/>
              </w:rPr>
              <w:t xml:space="preserve"> Therefore, </w:t>
            </w:r>
            <w:r w:rsidR="00B75154" w:rsidRPr="00B9618A">
              <w:rPr>
                <w:szCs w:val="24"/>
                <w:lang w:val="en-US"/>
              </w:rPr>
              <w:t xml:space="preserve">the continuation of the contract </w:t>
            </w:r>
            <w:r w:rsidR="00726597" w:rsidRPr="00B9618A">
              <w:rPr>
                <w:szCs w:val="24"/>
                <w:lang w:val="en-US"/>
              </w:rPr>
              <w:t xml:space="preserve">is subject to </w:t>
            </w:r>
            <w:r w:rsidR="00572F89" w:rsidRPr="00B9618A">
              <w:rPr>
                <w:szCs w:val="24"/>
                <w:lang w:val="en-US"/>
              </w:rPr>
              <w:t xml:space="preserve">funding for </w:t>
            </w:r>
            <w:r w:rsidR="00A65F51" w:rsidRPr="00B9618A">
              <w:rPr>
                <w:szCs w:val="24"/>
                <w:lang w:val="en-US"/>
              </w:rPr>
              <w:t>20</w:t>
            </w:r>
            <w:r w:rsidR="009D44E3" w:rsidRPr="00B9618A">
              <w:rPr>
                <w:szCs w:val="24"/>
                <w:lang w:val="en-US"/>
              </w:rPr>
              <w:t>25/26 onwards being made available.</w:t>
            </w:r>
            <w:r w:rsidR="00BF31CF" w:rsidRPr="00B9618A">
              <w:rPr>
                <w:szCs w:val="24"/>
                <w:lang w:val="en-US"/>
              </w:rPr>
              <w:t xml:space="preserve"> In the event that the </w:t>
            </w:r>
            <w:r w:rsidR="00E352E2" w:rsidRPr="00B9618A">
              <w:rPr>
                <w:szCs w:val="24"/>
                <w:lang w:val="en-US"/>
              </w:rPr>
              <w:t>L</w:t>
            </w:r>
            <w:r w:rsidR="004869D1" w:rsidRPr="00B9618A">
              <w:rPr>
                <w:szCs w:val="24"/>
                <w:lang w:val="en-US"/>
              </w:rPr>
              <w:t xml:space="preserve">ondon </w:t>
            </w:r>
            <w:r w:rsidR="00E352E2" w:rsidRPr="00B9618A">
              <w:rPr>
                <w:szCs w:val="24"/>
                <w:lang w:val="en-US"/>
              </w:rPr>
              <w:t>C</w:t>
            </w:r>
            <w:r w:rsidR="004869D1" w:rsidRPr="00B9618A">
              <w:rPr>
                <w:szCs w:val="24"/>
                <w:lang w:val="en-US"/>
              </w:rPr>
              <w:t xml:space="preserve">rime </w:t>
            </w:r>
            <w:r w:rsidR="00E352E2" w:rsidRPr="00B9618A">
              <w:rPr>
                <w:szCs w:val="24"/>
                <w:lang w:val="en-US"/>
              </w:rPr>
              <w:t>P</w:t>
            </w:r>
            <w:r w:rsidR="004869D1" w:rsidRPr="00B9618A">
              <w:rPr>
                <w:szCs w:val="24"/>
                <w:lang w:val="en-US"/>
              </w:rPr>
              <w:t xml:space="preserve">revention </w:t>
            </w:r>
            <w:r w:rsidR="00E352E2" w:rsidRPr="00B9618A">
              <w:rPr>
                <w:szCs w:val="24"/>
                <w:lang w:val="en-US"/>
              </w:rPr>
              <w:t>F</w:t>
            </w:r>
            <w:r w:rsidR="004869D1" w:rsidRPr="00B9618A">
              <w:rPr>
                <w:szCs w:val="24"/>
                <w:lang w:val="en-US"/>
              </w:rPr>
              <w:t>und (LCPF)</w:t>
            </w:r>
            <w:r w:rsidR="00E352E2" w:rsidRPr="00B9618A">
              <w:rPr>
                <w:szCs w:val="24"/>
                <w:lang w:val="en-US"/>
              </w:rPr>
              <w:t xml:space="preserve"> commitment of £120,000 is not continued</w:t>
            </w:r>
            <w:r w:rsidR="00463154" w:rsidRPr="00B9618A">
              <w:rPr>
                <w:szCs w:val="24"/>
                <w:lang w:val="en-US"/>
              </w:rPr>
              <w:t xml:space="preserve"> for 2025</w:t>
            </w:r>
            <w:r w:rsidR="002153A0" w:rsidRPr="00B9618A">
              <w:rPr>
                <w:szCs w:val="24"/>
                <w:lang w:val="en-US"/>
              </w:rPr>
              <w:t>-2</w:t>
            </w:r>
            <w:r w:rsidR="00463154" w:rsidRPr="00B9618A">
              <w:rPr>
                <w:szCs w:val="24"/>
                <w:lang w:val="en-US"/>
              </w:rPr>
              <w:t>6</w:t>
            </w:r>
            <w:r w:rsidR="00E352E2" w:rsidRPr="00B9618A">
              <w:rPr>
                <w:szCs w:val="24"/>
                <w:lang w:val="en-US"/>
              </w:rPr>
              <w:t xml:space="preserve">, we will </w:t>
            </w:r>
            <w:r w:rsidR="002323B8" w:rsidRPr="00B9618A">
              <w:rPr>
                <w:szCs w:val="24"/>
                <w:lang w:val="en-US"/>
              </w:rPr>
              <w:t>have to reduce the service</w:t>
            </w:r>
            <w:r w:rsidR="001311CE" w:rsidRPr="00B9618A">
              <w:rPr>
                <w:szCs w:val="24"/>
                <w:lang w:val="en-US"/>
              </w:rPr>
              <w:t xml:space="preserve"> unless funding is available from other sources</w:t>
            </w:r>
            <w:r w:rsidR="002323B8" w:rsidRPr="00B9618A">
              <w:rPr>
                <w:szCs w:val="24"/>
                <w:lang w:val="en-US"/>
              </w:rPr>
              <w:t>.</w:t>
            </w:r>
            <w:r w:rsidR="001311CE" w:rsidRPr="00B9618A">
              <w:rPr>
                <w:szCs w:val="24"/>
                <w:lang w:val="en-US"/>
              </w:rPr>
              <w:t xml:space="preserve"> </w:t>
            </w:r>
            <w:r w:rsidR="001311CE" w:rsidRPr="009F41DB">
              <w:rPr>
                <w:szCs w:val="24"/>
                <w:lang w:val="en-US"/>
              </w:rPr>
              <w:t xml:space="preserve">The total </w:t>
            </w:r>
            <w:r w:rsidR="000D07D4" w:rsidRPr="009F41DB">
              <w:rPr>
                <w:szCs w:val="24"/>
                <w:lang w:val="en-US"/>
              </w:rPr>
              <w:t xml:space="preserve">annual </w:t>
            </w:r>
            <w:r w:rsidR="00E02396" w:rsidRPr="009F41DB">
              <w:rPr>
                <w:szCs w:val="24"/>
                <w:lang w:val="en-US"/>
              </w:rPr>
              <w:t xml:space="preserve">funding </w:t>
            </w:r>
            <w:r w:rsidR="000D07D4" w:rsidRPr="009F41DB">
              <w:rPr>
                <w:szCs w:val="24"/>
                <w:lang w:val="en-US"/>
              </w:rPr>
              <w:t xml:space="preserve">received by the Council from the </w:t>
            </w:r>
            <w:r w:rsidR="001311CE" w:rsidRPr="009F41DB">
              <w:rPr>
                <w:szCs w:val="24"/>
                <w:lang w:val="en-US"/>
              </w:rPr>
              <w:t xml:space="preserve">LCPF is </w:t>
            </w:r>
            <w:r w:rsidR="00E92F5C" w:rsidRPr="009F41DB">
              <w:rPr>
                <w:szCs w:val="24"/>
                <w:lang w:val="en-US"/>
              </w:rPr>
              <w:t>£200,271</w:t>
            </w:r>
            <w:r w:rsidR="001311CE" w:rsidRPr="009F41DB">
              <w:rPr>
                <w:szCs w:val="24"/>
                <w:lang w:val="en-US"/>
              </w:rPr>
              <w:t>, so supporting DA services would be the first call on this funding.</w:t>
            </w:r>
            <w:r w:rsidR="00E47778" w:rsidRPr="009F41DB">
              <w:rPr>
                <w:szCs w:val="24"/>
                <w:lang w:val="en-US"/>
              </w:rPr>
              <w:t xml:space="preserve"> </w:t>
            </w:r>
          </w:p>
          <w:p w14:paraId="07DCD158" w14:textId="239296E1" w:rsidR="00105C6F" w:rsidRPr="00F3469F" w:rsidRDefault="00FA4077" w:rsidP="007269CD">
            <w:pPr>
              <w:pStyle w:val="ListParagraph"/>
              <w:numPr>
                <w:ilvl w:val="0"/>
                <w:numId w:val="6"/>
              </w:numPr>
              <w:suppressAutoHyphens/>
              <w:autoSpaceDN w:val="0"/>
              <w:spacing w:line="247" w:lineRule="auto"/>
              <w:ind w:left="171" w:right="141" w:hanging="171"/>
              <w:rPr>
                <w:szCs w:val="24"/>
                <w:lang w:val="en-US"/>
              </w:rPr>
            </w:pPr>
            <w:r>
              <w:rPr>
                <w:szCs w:val="24"/>
                <w:lang w:val="en-US"/>
              </w:rPr>
              <w:t>It</w:t>
            </w:r>
            <w:r w:rsidR="003375E7" w:rsidRPr="00F3469F">
              <w:rPr>
                <w:szCs w:val="24"/>
                <w:lang w:val="en-US"/>
              </w:rPr>
              <w:t xml:space="preserve"> </w:t>
            </w:r>
            <w:r w:rsidRPr="00FA4077">
              <w:rPr>
                <w:szCs w:val="24"/>
              </w:rPr>
              <w:t>is possible to vary the contract during the term by way of the Change Control Procedure set out in Schedule 7 of the contract</w:t>
            </w:r>
            <w:r>
              <w:rPr>
                <w:szCs w:val="24"/>
              </w:rPr>
              <w:t xml:space="preserve">. </w:t>
            </w:r>
            <w:r w:rsidR="007602EA">
              <w:rPr>
                <w:szCs w:val="24"/>
              </w:rPr>
              <w:t xml:space="preserve">Furthermore, </w:t>
            </w:r>
            <w:r w:rsidR="007602EA" w:rsidRPr="007602EA">
              <w:rPr>
                <w:szCs w:val="24"/>
              </w:rPr>
              <w:t>Clause 36A of the contract also allows the Council to terminate at any time by giving 6 months’ written notice to the provider</w:t>
            </w:r>
            <w:r w:rsidR="00AF31F5">
              <w:rPr>
                <w:szCs w:val="24"/>
              </w:rPr>
              <w:t xml:space="preserve">. </w:t>
            </w:r>
            <w:r w:rsidR="00FC4C1C">
              <w:rPr>
                <w:szCs w:val="24"/>
              </w:rPr>
              <w:t>Therefore,</w:t>
            </w:r>
            <w:r w:rsidR="00AF31F5">
              <w:rPr>
                <w:szCs w:val="24"/>
              </w:rPr>
              <w:t xml:space="preserve"> any risk of facing penalties for </w:t>
            </w:r>
            <w:r w:rsidR="00CA78EC">
              <w:rPr>
                <w:szCs w:val="24"/>
              </w:rPr>
              <w:t>reducing services in line with funding will be mitigated</w:t>
            </w:r>
            <w:r w:rsidR="00414F76">
              <w:rPr>
                <w:szCs w:val="24"/>
              </w:rPr>
              <w: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6B970616" w14:textId="77777777" w:rsidR="00380F87" w:rsidRDefault="00380F87" w:rsidP="00846574">
            <w:pPr>
              <w:spacing w:line="247" w:lineRule="auto"/>
              <w:ind w:left="83" w:right="141"/>
              <w:rPr>
                <w:rFonts w:cs="Arial"/>
                <w:szCs w:val="24"/>
                <w:lang w:val="en-US" w:eastAsia="en-GB"/>
              </w:rPr>
            </w:pPr>
            <w:r>
              <w:rPr>
                <w:rFonts w:cs="Arial"/>
                <w:szCs w:val="24"/>
                <w:lang w:val="en-US" w:eastAsia="en-GB"/>
              </w:rPr>
              <w:lastRenderedPageBreak/>
              <w:t>Amber</w:t>
            </w:r>
          </w:p>
          <w:p w14:paraId="1BD16511" w14:textId="4959C58C" w:rsidR="00380F87" w:rsidRDefault="00380F87" w:rsidP="00846574">
            <w:pPr>
              <w:spacing w:line="247" w:lineRule="auto"/>
              <w:ind w:left="83" w:right="141"/>
              <w:rPr>
                <w:rFonts w:cs="Arial"/>
                <w:szCs w:val="24"/>
                <w:lang w:val="en-US" w:eastAsia="en-GB"/>
              </w:rPr>
            </w:pPr>
          </w:p>
        </w:tc>
      </w:tr>
      <w:tr w:rsidR="00380F87" w14:paraId="6274505A" w14:textId="77777777" w:rsidTr="2C0C79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C11946" w14:textId="34061A7B" w:rsidR="00080B40" w:rsidRPr="00080B40" w:rsidRDefault="00080B40" w:rsidP="00080B40">
            <w:pPr>
              <w:spacing w:line="247" w:lineRule="auto"/>
              <w:ind w:right="141"/>
              <w:rPr>
                <w:rFonts w:cs="Arial"/>
                <w:szCs w:val="24"/>
                <w:lang w:eastAsia="en-GB"/>
              </w:rPr>
            </w:pPr>
            <w:r w:rsidRPr="00080B40">
              <w:rPr>
                <w:rFonts w:cs="Arial"/>
                <w:szCs w:val="24"/>
                <w:lang w:eastAsia="en-GB"/>
              </w:rPr>
              <w:t>The provider becomes insolvent</w:t>
            </w:r>
          </w:p>
          <w:p w14:paraId="0044A2D7" w14:textId="77777777" w:rsidR="00380F87" w:rsidRDefault="00380F87" w:rsidP="004877B2">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27BF49" w14:textId="2D4121C8" w:rsidR="00380F87" w:rsidRDefault="008303FB" w:rsidP="00C81D91">
            <w:pPr>
              <w:pStyle w:val="ListParagraph"/>
              <w:numPr>
                <w:ilvl w:val="0"/>
                <w:numId w:val="6"/>
              </w:numPr>
              <w:suppressAutoHyphens/>
              <w:autoSpaceDN w:val="0"/>
              <w:spacing w:line="247" w:lineRule="auto"/>
              <w:ind w:left="171" w:right="141" w:hanging="171"/>
              <w:rPr>
                <w:szCs w:val="24"/>
                <w:lang w:val="en-US"/>
              </w:rPr>
            </w:pPr>
            <w:r w:rsidRPr="008303FB">
              <w:rPr>
                <w:szCs w:val="24"/>
              </w:rPr>
              <w:t>The service contract will include mitigations to enable the Council to identify and issue a direct award to another provider</w:t>
            </w:r>
          </w:p>
          <w:p w14:paraId="7BA378C2" w14:textId="77777777" w:rsidR="00380F87" w:rsidRPr="00EA5457" w:rsidRDefault="00846574" w:rsidP="00846574">
            <w:pPr>
              <w:pStyle w:val="ListParagraph"/>
              <w:numPr>
                <w:ilvl w:val="0"/>
                <w:numId w:val="6"/>
              </w:numPr>
              <w:suppressAutoHyphens/>
              <w:autoSpaceDN w:val="0"/>
              <w:spacing w:line="247" w:lineRule="auto"/>
              <w:ind w:left="171" w:right="141" w:hanging="171"/>
              <w:rPr>
                <w:szCs w:val="24"/>
                <w:lang w:val="en-US"/>
              </w:rPr>
            </w:pPr>
            <w:r w:rsidRPr="00846574">
              <w:rPr>
                <w:szCs w:val="24"/>
              </w:rPr>
              <w:t xml:space="preserve">Splitting the service into two lots may reduce the risk of the whole service being impacted, should a </w:t>
            </w:r>
            <w:r w:rsidRPr="00846574">
              <w:rPr>
                <w:szCs w:val="24"/>
              </w:rPr>
              <w:lastRenderedPageBreak/>
              <w:t>provider become insolvent</w:t>
            </w:r>
            <w:r w:rsidR="00DF6AEA">
              <w:rPr>
                <w:szCs w:val="24"/>
              </w:rPr>
              <w:t>.</w:t>
            </w:r>
          </w:p>
          <w:p w14:paraId="7E28F6C4" w14:textId="77777777" w:rsidR="000A3DAA" w:rsidRDefault="00CF6E32" w:rsidP="000A3DAA">
            <w:pPr>
              <w:pStyle w:val="ListParagraph"/>
              <w:numPr>
                <w:ilvl w:val="0"/>
                <w:numId w:val="6"/>
              </w:numPr>
              <w:suppressAutoHyphens/>
              <w:autoSpaceDN w:val="0"/>
              <w:spacing w:line="247" w:lineRule="auto"/>
              <w:ind w:left="171" w:right="141" w:hanging="171"/>
              <w:rPr>
                <w:szCs w:val="24"/>
                <w:lang w:val="en-US"/>
              </w:rPr>
            </w:pPr>
            <w:r>
              <w:rPr>
                <w:szCs w:val="24"/>
                <w:lang w:val="en-US"/>
              </w:rPr>
              <w:t xml:space="preserve">The market has a number of competitor organisations in </w:t>
            </w:r>
            <w:r w:rsidR="00EA5457">
              <w:rPr>
                <w:szCs w:val="24"/>
                <w:lang w:val="en-US"/>
              </w:rPr>
              <w:t>it,</w:t>
            </w:r>
            <w:r>
              <w:rPr>
                <w:szCs w:val="24"/>
                <w:lang w:val="en-US"/>
              </w:rPr>
              <w:t xml:space="preserve"> so we are not reliant on monopoly provision.</w:t>
            </w:r>
          </w:p>
          <w:p w14:paraId="79FDFF6E" w14:textId="4EF81185" w:rsidR="000A3DAA" w:rsidRPr="0099210F" w:rsidRDefault="000A3DAA" w:rsidP="0099210F">
            <w:pPr>
              <w:pStyle w:val="ListParagraph"/>
              <w:numPr>
                <w:ilvl w:val="0"/>
                <w:numId w:val="6"/>
              </w:numPr>
              <w:suppressAutoHyphens/>
              <w:autoSpaceDN w:val="0"/>
              <w:spacing w:line="247" w:lineRule="auto"/>
              <w:ind w:left="171" w:right="141" w:hanging="171"/>
              <w:rPr>
                <w:szCs w:val="24"/>
                <w:lang w:val="en-US"/>
              </w:rPr>
            </w:pPr>
            <w:r w:rsidRPr="000A3DAA">
              <w:rPr>
                <w:rFonts w:cs="Arial"/>
              </w:rPr>
              <w:t>Prior to the award of contracts, the</w:t>
            </w:r>
            <w:r w:rsidRPr="0099210F">
              <w:rPr>
                <w:rFonts w:cs="Arial"/>
              </w:rPr>
              <w:t xml:space="preserve"> Authority </w:t>
            </w:r>
            <w:r w:rsidRPr="00D5569F">
              <w:rPr>
                <w:rFonts w:cs="Arial"/>
              </w:rPr>
              <w:t xml:space="preserve">will carry out </w:t>
            </w:r>
            <w:r w:rsidRPr="002A633B">
              <w:rPr>
                <w:rFonts w:cs="Arial"/>
              </w:rPr>
              <w:t xml:space="preserve">financial due diligence checks </w:t>
            </w:r>
            <w:r w:rsidRPr="000A3DAA">
              <w:rPr>
                <w:rFonts w:cs="Arial"/>
              </w:rPr>
              <w:t>on evidence provided by the recommended supplier(s)</w:t>
            </w:r>
            <w:r w:rsidR="0099210F">
              <w:rPr>
                <w:rFonts w:cs="Arial"/>
              </w:rPr>
              <w:t xml:space="preserve">, to </w:t>
            </w:r>
            <w:r w:rsidRPr="0099210F">
              <w:rPr>
                <w:rFonts w:cs="Arial"/>
              </w:rPr>
              <w:t xml:space="preserve">validate information </w:t>
            </w:r>
            <w:r>
              <w:rPr>
                <w:rFonts w:cs="Arial"/>
              </w:rPr>
              <w:t xml:space="preserve">they </w:t>
            </w:r>
            <w:r w:rsidRPr="000A3DAA">
              <w:rPr>
                <w:rFonts w:cs="Arial"/>
              </w:rPr>
              <w:t>provided in the Selection Questionnaire</w:t>
            </w:r>
            <w:r w:rsidR="0099210F">
              <w:rPr>
                <w:rFonts w:cs="Arial"/>
              </w:rPr>
              <w:t xml:space="preserve"> of the tender. This </w:t>
            </w:r>
            <w:r w:rsidRPr="000A3DAA">
              <w:rPr>
                <w:rFonts w:cs="Arial"/>
              </w:rPr>
              <w:t>includ</w:t>
            </w:r>
            <w:r w:rsidR="0099210F">
              <w:rPr>
                <w:rFonts w:cs="Arial"/>
              </w:rPr>
              <w:t>es</w:t>
            </w:r>
            <w:r w:rsidRPr="000A3DAA">
              <w:rPr>
                <w:rFonts w:cs="Arial"/>
              </w:rPr>
              <w:t xml:space="preserve"> </w:t>
            </w:r>
            <w:r w:rsidR="0099210F">
              <w:rPr>
                <w:rFonts w:cs="Arial"/>
              </w:rPr>
              <w:t xml:space="preserve">a review of the supplier’s </w:t>
            </w:r>
            <w:r w:rsidRPr="000A3DAA">
              <w:rPr>
                <w:rFonts w:cs="Arial"/>
              </w:rPr>
              <w:t>two years audited accounts (or other equivalent financial information).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03D15A6" w14:textId="76CB6B12" w:rsidR="00380F87" w:rsidRDefault="00846574" w:rsidP="00846574">
            <w:pPr>
              <w:spacing w:line="247" w:lineRule="auto"/>
              <w:ind w:left="83" w:right="141"/>
              <w:rPr>
                <w:rFonts w:cs="Arial"/>
                <w:szCs w:val="24"/>
                <w:lang w:val="en-US" w:eastAsia="en-GB"/>
              </w:rPr>
            </w:pPr>
            <w:r w:rsidRPr="00846574">
              <w:rPr>
                <w:rFonts w:cs="Arial"/>
                <w:szCs w:val="24"/>
                <w:lang w:val="en-US" w:eastAsia="en-GB"/>
              </w:rPr>
              <w:lastRenderedPageBreak/>
              <w:t>Amber</w:t>
            </w:r>
          </w:p>
        </w:tc>
      </w:tr>
      <w:tr w:rsidR="005740DF" w14:paraId="5D3D79B9" w14:textId="77777777" w:rsidTr="2C0C79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93F76B" w14:textId="3B04EF1C" w:rsidR="005740DF" w:rsidRPr="00415A2E" w:rsidRDefault="00123304" w:rsidP="004877B2">
            <w:pPr>
              <w:spacing w:line="247" w:lineRule="auto"/>
              <w:ind w:right="141"/>
              <w:rPr>
                <w:szCs w:val="24"/>
              </w:rPr>
            </w:pPr>
            <w:r>
              <w:rPr>
                <w:szCs w:val="24"/>
              </w:rPr>
              <w:t xml:space="preserve">Failure to allow for inflation </w:t>
            </w:r>
            <w:r w:rsidR="002E504D">
              <w:rPr>
                <w:szCs w:val="24"/>
              </w:rPr>
              <w:t>in the contract funding</w:t>
            </w:r>
            <w:r w:rsidR="00B21114">
              <w:rPr>
                <w:szCs w:val="24"/>
              </w:rPr>
              <w:t xml:space="preserve"> </w:t>
            </w:r>
            <w:r w:rsidR="00A14899">
              <w:rPr>
                <w:szCs w:val="24"/>
              </w:rPr>
              <w:t>leading to the providers being unable to deliver the service specification</w:t>
            </w:r>
            <w:r w:rsidR="00780D1F">
              <w:rPr>
                <w:szCs w:val="24"/>
              </w:rPr>
              <w:t xml:space="preserve"> within the proposed budget</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879DDD" w14:textId="040D183E" w:rsidR="005740DF" w:rsidRPr="00415A2E" w:rsidRDefault="004A0B44" w:rsidP="4746A3DC">
            <w:pPr>
              <w:pStyle w:val="ListParagraph"/>
              <w:numPr>
                <w:ilvl w:val="0"/>
                <w:numId w:val="6"/>
              </w:numPr>
              <w:suppressAutoHyphens/>
              <w:autoSpaceDN w:val="0"/>
              <w:spacing w:line="247" w:lineRule="auto"/>
              <w:ind w:left="171" w:right="141" w:hanging="171"/>
            </w:pPr>
            <w:r w:rsidRPr="004A0B44">
              <w:t>It is the responsibility of bidders to factor inflation into their pricing schedule of their bid.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0BBFEEEC" w14:textId="03BCCD3F" w:rsidR="005740DF" w:rsidRPr="00415A2E" w:rsidRDefault="00600CA1" w:rsidP="00846574">
            <w:pPr>
              <w:spacing w:line="247" w:lineRule="auto"/>
              <w:ind w:left="83" w:right="141"/>
              <w:rPr>
                <w:rFonts w:cs="Arial"/>
                <w:szCs w:val="24"/>
                <w:lang w:val="en-US" w:eastAsia="en-GB"/>
              </w:rPr>
            </w:pPr>
            <w:r>
              <w:rPr>
                <w:rFonts w:cs="Arial"/>
                <w:szCs w:val="24"/>
                <w:lang w:val="en-US" w:eastAsia="en-GB"/>
              </w:rPr>
              <w:t>Amber</w:t>
            </w:r>
          </w:p>
        </w:tc>
      </w:tr>
      <w:tr w:rsidR="007269CD" w14:paraId="0CB7B919" w14:textId="77777777" w:rsidTr="2C0C79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B5C9D5" w14:textId="45DF72E0" w:rsidR="007269CD" w:rsidRPr="00415A2E" w:rsidRDefault="00125191" w:rsidP="004877B2">
            <w:pPr>
              <w:spacing w:line="247" w:lineRule="auto"/>
              <w:ind w:right="141"/>
              <w:rPr>
                <w:rFonts w:cs="Arial"/>
                <w:szCs w:val="24"/>
                <w:lang w:val="en-US" w:eastAsia="en-GB"/>
              </w:rPr>
            </w:pPr>
            <w:r w:rsidRPr="00415A2E">
              <w:rPr>
                <w:szCs w:val="24"/>
              </w:rPr>
              <w:t>Failure of provider in service delivery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974F11" w14:textId="77777777" w:rsidR="007269CD" w:rsidRPr="00C606A7" w:rsidRDefault="00527FD3" w:rsidP="00C81D91">
            <w:pPr>
              <w:pStyle w:val="ListParagraph"/>
              <w:numPr>
                <w:ilvl w:val="0"/>
                <w:numId w:val="6"/>
              </w:numPr>
              <w:suppressAutoHyphens/>
              <w:autoSpaceDN w:val="0"/>
              <w:spacing w:line="247" w:lineRule="auto"/>
              <w:ind w:left="171" w:right="141" w:hanging="171"/>
              <w:rPr>
                <w:szCs w:val="24"/>
                <w:lang w:val="en-US"/>
              </w:rPr>
            </w:pPr>
            <w:r w:rsidRPr="00415A2E">
              <w:rPr>
                <w:szCs w:val="24"/>
              </w:rPr>
              <w:t>The contract performance measures and mitigations include regular contract monitoring of KPIs, improvement plans and break clauses</w:t>
            </w:r>
            <w:r w:rsidR="00DF6AEA">
              <w:rPr>
                <w:szCs w:val="24"/>
              </w:rPr>
              <w:t>.</w:t>
            </w:r>
          </w:p>
          <w:p w14:paraId="700C9FA8" w14:textId="01E14353" w:rsidR="00CF6E32" w:rsidRPr="00415A2E" w:rsidRDefault="00CF6E32" w:rsidP="00C81D91">
            <w:pPr>
              <w:pStyle w:val="ListParagraph"/>
              <w:numPr>
                <w:ilvl w:val="0"/>
                <w:numId w:val="6"/>
              </w:numPr>
              <w:suppressAutoHyphens/>
              <w:autoSpaceDN w:val="0"/>
              <w:spacing w:line="247" w:lineRule="auto"/>
              <w:ind w:left="171" w:right="141" w:hanging="171"/>
              <w:rPr>
                <w:szCs w:val="24"/>
                <w:lang w:val="en-US"/>
              </w:rPr>
            </w:pPr>
            <w:r>
              <w:rPr>
                <w:szCs w:val="24"/>
              </w:rPr>
              <w:t>No extension would be approved without a robust and rigorous assessment of performance.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F55E179" w14:textId="5F462ACF" w:rsidR="007269CD" w:rsidRDefault="00527FD3" w:rsidP="00846574">
            <w:pPr>
              <w:spacing w:line="247" w:lineRule="auto"/>
              <w:ind w:left="83" w:right="141"/>
              <w:rPr>
                <w:rFonts w:cs="Arial"/>
                <w:szCs w:val="24"/>
                <w:lang w:val="en-US" w:eastAsia="en-GB"/>
              </w:rPr>
            </w:pPr>
            <w:r w:rsidRPr="00415A2E">
              <w:rPr>
                <w:rFonts w:cs="Arial"/>
                <w:szCs w:val="24"/>
                <w:lang w:val="en-US" w:eastAsia="en-GB"/>
              </w:rPr>
              <w:t>Green</w:t>
            </w:r>
          </w:p>
        </w:tc>
      </w:tr>
      <w:tr w:rsidR="001E120B" w14:paraId="10966F67" w14:textId="77777777" w:rsidTr="2C0C79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A223C7B" w14:textId="1CE06AA4" w:rsidR="001E120B" w:rsidRPr="00415A2E" w:rsidRDefault="001E120B" w:rsidP="004877B2">
            <w:pPr>
              <w:spacing w:line="247" w:lineRule="auto"/>
              <w:ind w:right="141"/>
              <w:rPr>
                <w:szCs w:val="24"/>
              </w:rPr>
            </w:pPr>
            <w:r>
              <w:rPr>
                <w:szCs w:val="24"/>
                <w:lang w:val="en"/>
              </w:rPr>
              <w:t>R</w:t>
            </w:r>
            <w:r w:rsidRPr="001E120B">
              <w:rPr>
                <w:szCs w:val="24"/>
                <w:lang w:val="en"/>
              </w:rPr>
              <w:t>isk</w:t>
            </w:r>
            <w:r>
              <w:rPr>
                <w:szCs w:val="24"/>
                <w:lang w:val="en"/>
              </w:rPr>
              <w:t xml:space="preserve"> of</w:t>
            </w:r>
            <w:r w:rsidRPr="001E120B">
              <w:rPr>
                <w:szCs w:val="24"/>
                <w:lang w:val="en"/>
              </w:rPr>
              <w:t xml:space="preserve"> losing potential economies of scale</w:t>
            </w:r>
            <w:r>
              <w:rPr>
                <w:szCs w:val="24"/>
                <w:lang w:val="en"/>
              </w:rPr>
              <w:t xml:space="preserve"> due to splitting </w:t>
            </w:r>
            <w:r w:rsidR="00014566">
              <w:rPr>
                <w:szCs w:val="24"/>
                <w:lang w:val="en"/>
              </w:rPr>
              <w:t>into two procurement lots.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E771EA3" w14:textId="04BBA295" w:rsidR="001E120B" w:rsidRPr="00415A2E" w:rsidRDefault="003950C0" w:rsidP="00C81D91">
            <w:pPr>
              <w:pStyle w:val="ListParagraph"/>
              <w:numPr>
                <w:ilvl w:val="0"/>
                <w:numId w:val="6"/>
              </w:numPr>
              <w:suppressAutoHyphens/>
              <w:autoSpaceDN w:val="0"/>
              <w:spacing w:line="247" w:lineRule="auto"/>
              <w:ind w:left="171" w:right="141" w:hanging="171"/>
              <w:rPr>
                <w:szCs w:val="24"/>
              </w:rPr>
            </w:pPr>
            <w:r>
              <w:rPr>
                <w:szCs w:val="24"/>
              </w:rPr>
              <w:t xml:space="preserve">While recognising this is a potential risk, it is felt that the benefits gained </w:t>
            </w:r>
            <w:r w:rsidR="00156F2B">
              <w:rPr>
                <w:szCs w:val="24"/>
              </w:rPr>
              <w:t xml:space="preserve">from </w:t>
            </w:r>
            <w:r w:rsidR="00BD2485">
              <w:rPr>
                <w:szCs w:val="24"/>
              </w:rPr>
              <w:t xml:space="preserve">this approach (as set out in section 2.4 of this report) </w:t>
            </w:r>
            <w:r w:rsidR="00D24315">
              <w:rPr>
                <w:szCs w:val="24"/>
              </w:rPr>
              <w:t>outweigh</w:t>
            </w:r>
            <w:r w:rsidR="00862138">
              <w:rPr>
                <w:szCs w:val="24"/>
              </w:rPr>
              <w:t xml:space="preserve"> the risks.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ADF38E4" w14:textId="0C9A484E" w:rsidR="001E120B" w:rsidRPr="00415A2E" w:rsidRDefault="003C5537" w:rsidP="00846574">
            <w:pPr>
              <w:spacing w:line="247" w:lineRule="auto"/>
              <w:ind w:left="83" w:right="141"/>
              <w:rPr>
                <w:rFonts w:cs="Arial"/>
                <w:szCs w:val="24"/>
                <w:lang w:val="en-US" w:eastAsia="en-GB"/>
              </w:rPr>
            </w:pPr>
            <w:r>
              <w:rPr>
                <w:rFonts w:cs="Arial"/>
                <w:szCs w:val="24"/>
                <w:lang w:val="en-US" w:eastAsia="en-GB"/>
              </w:rPr>
              <w:t>Green</w:t>
            </w:r>
          </w:p>
        </w:tc>
      </w:tr>
      <w:tr w:rsidR="0085208E" w14:paraId="7B93B935" w14:textId="77777777" w:rsidTr="2C0C79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E14038" w14:textId="19F0E0B3" w:rsidR="0085208E" w:rsidRPr="00415A2E" w:rsidRDefault="00C745CA" w:rsidP="004877B2">
            <w:pPr>
              <w:spacing w:line="247" w:lineRule="auto"/>
              <w:ind w:right="141"/>
              <w:rPr>
                <w:szCs w:val="24"/>
              </w:rPr>
            </w:pPr>
            <w:r>
              <w:rPr>
                <w:szCs w:val="24"/>
              </w:rPr>
              <w:t>Risk of procurement Challenge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69744B" w14:textId="077DCA93" w:rsidR="0085208E" w:rsidRPr="00415A2E" w:rsidRDefault="46E2DCEF" w:rsidP="4746A3DC">
            <w:pPr>
              <w:pStyle w:val="ListParagraph"/>
              <w:numPr>
                <w:ilvl w:val="0"/>
                <w:numId w:val="6"/>
              </w:numPr>
              <w:suppressAutoHyphens/>
              <w:autoSpaceDN w:val="0"/>
              <w:spacing w:line="247" w:lineRule="auto"/>
              <w:ind w:left="171" w:right="141" w:hanging="171"/>
            </w:pPr>
            <w:r>
              <w:t xml:space="preserve">Competitive tendering process to be undertaken in compliance with </w:t>
            </w:r>
            <w:r w:rsidR="40166F15">
              <w:t xml:space="preserve">the </w:t>
            </w:r>
            <w:r>
              <w:lastRenderedPageBreak/>
              <w:t>Council’s</w:t>
            </w:r>
            <w:r w:rsidR="40166F15">
              <w:t xml:space="preserve"> contract procurement rules</w:t>
            </w:r>
            <w:r w:rsidR="46FEE996">
              <w:t xml:space="preserve"> </w:t>
            </w:r>
            <w:r w:rsidR="52EF3891">
              <w:t xml:space="preserve">and </w:t>
            </w:r>
            <w:r w:rsidR="2691256C">
              <w:t>Public Contract Regulations 2015</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99F33D1" w14:textId="2ED555DE" w:rsidR="0085208E" w:rsidRPr="00415A2E" w:rsidRDefault="000A067A" w:rsidP="00846574">
            <w:pPr>
              <w:spacing w:line="247" w:lineRule="auto"/>
              <w:ind w:left="83" w:right="141"/>
              <w:rPr>
                <w:rFonts w:cs="Arial"/>
                <w:szCs w:val="24"/>
                <w:lang w:val="en-US" w:eastAsia="en-GB"/>
              </w:rPr>
            </w:pPr>
            <w:r>
              <w:rPr>
                <w:rFonts w:cs="Arial"/>
                <w:szCs w:val="24"/>
                <w:lang w:val="en-US" w:eastAsia="en-GB"/>
              </w:rPr>
              <w:lastRenderedPageBreak/>
              <w:t>Green</w:t>
            </w:r>
          </w:p>
        </w:tc>
      </w:tr>
      <w:tr w:rsidR="00376C5D" w14:paraId="72352A84" w14:textId="77777777" w:rsidTr="2C0C79C5">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896E03" w14:textId="0C497F90" w:rsidR="00376C5D" w:rsidRDefault="00411506" w:rsidP="004877B2">
            <w:pPr>
              <w:spacing w:line="247" w:lineRule="auto"/>
              <w:ind w:right="141"/>
              <w:rPr>
                <w:szCs w:val="24"/>
              </w:rPr>
            </w:pPr>
            <w:r>
              <w:rPr>
                <w:szCs w:val="24"/>
              </w:rPr>
              <w:t xml:space="preserve">Lack of </w:t>
            </w:r>
            <w:r w:rsidR="00DA2BCD">
              <w:rPr>
                <w:szCs w:val="24"/>
              </w:rPr>
              <w:t>value for money</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4E3E48" w14:textId="54FC4FAD" w:rsidR="00376C5D" w:rsidRPr="00415A2E" w:rsidRDefault="00AC481F" w:rsidP="00C81D91">
            <w:pPr>
              <w:pStyle w:val="ListParagraph"/>
              <w:numPr>
                <w:ilvl w:val="0"/>
                <w:numId w:val="6"/>
              </w:numPr>
              <w:suppressAutoHyphens/>
              <w:autoSpaceDN w:val="0"/>
              <w:spacing w:line="247" w:lineRule="auto"/>
              <w:ind w:left="171" w:right="141" w:hanging="171"/>
              <w:rPr>
                <w:szCs w:val="24"/>
              </w:rPr>
            </w:pPr>
            <w:r>
              <w:rPr>
                <w:szCs w:val="24"/>
              </w:rPr>
              <w:t>Th</w:t>
            </w:r>
            <w:r w:rsidR="00CF3914">
              <w:rPr>
                <w:szCs w:val="24"/>
              </w:rPr>
              <w:t>e</w:t>
            </w:r>
            <w:r>
              <w:rPr>
                <w:szCs w:val="24"/>
              </w:rPr>
              <w:t xml:space="preserve"> risk is mitigated </w:t>
            </w:r>
            <w:r w:rsidR="000A615F">
              <w:rPr>
                <w:szCs w:val="24"/>
              </w:rPr>
              <w:t xml:space="preserve">by </w:t>
            </w:r>
            <w:r w:rsidR="00DA2BCD">
              <w:rPr>
                <w:szCs w:val="24"/>
              </w:rPr>
              <w:t>a</w:t>
            </w:r>
            <w:r w:rsidR="000A615F">
              <w:rPr>
                <w:szCs w:val="24"/>
              </w:rPr>
              <w:t xml:space="preserve"> </w:t>
            </w:r>
            <w:r w:rsidR="00503769">
              <w:rPr>
                <w:szCs w:val="24"/>
              </w:rPr>
              <w:t>compet</w:t>
            </w:r>
            <w:r w:rsidR="003344B9">
              <w:rPr>
                <w:szCs w:val="24"/>
              </w:rPr>
              <w:t xml:space="preserve">itive </w:t>
            </w:r>
            <w:r w:rsidR="00DA2BCD">
              <w:rPr>
                <w:szCs w:val="24"/>
              </w:rPr>
              <w:t xml:space="preserve">and rigorous tender </w:t>
            </w:r>
            <w:r w:rsidR="003344B9">
              <w:rPr>
                <w:szCs w:val="24"/>
              </w:rPr>
              <w:t xml:space="preserve">process which will </w:t>
            </w:r>
            <w:r w:rsidR="00DA2BCD">
              <w:rPr>
                <w:szCs w:val="24"/>
              </w:rPr>
              <w:t>enable us to select a supplier that can provide the domestic abuse help service that we require for this fixed budget amount.</w:t>
            </w:r>
            <w:r w:rsidR="003344B9">
              <w:rPr>
                <w:szCs w:val="24"/>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77B83E26" w14:textId="4AC0B31E" w:rsidR="00376C5D" w:rsidRPr="00415A2E" w:rsidRDefault="00DA2BCD" w:rsidP="00846574">
            <w:pPr>
              <w:spacing w:line="247" w:lineRule="auto"/>
              <w:ind w:left="83" w:right="141"/>
              <w:rPr>
                <w:rFonts w:cs="Arial"/>
                <w:szCs w:val="24"/>
                <w:lang w:val="en-US" w:eastAsia="en-GB"/>
              </w:rPr>
            </w:pPr>
            <w:r>
              <w:rPr>
                <w:rFonts w:cs="Arial"/>
                <w:szCs w:val="24"/>
                <w:lang w:val="en-US" w:eastAsia="en-GB"/>
              </w:rPr>
              <w:t>Green</w:t>
            </w:r>
          </w:p>
        </w:tc>
      </w:tr>
    </w:tbl>
    <w:p w14:paraId="494BAD48" w14:textId="5FCDB546" w:rsidR="2D363C95" w:rsidRDefault="2D363C95"/>
    <w:bookmarkEnd w:id="13"/>
    <w:bookmarkEnd w:id="14"/>
    <w:p w14:paraId="0249BBDB" w14:textId="02A38157" w:rsidR="002A3FEF" w:rsidRDefault="002A3FEF" w:rsidP="00A1211C">
      <w:pPr>
        <w:pStyle w:val="Heading3"/>
        <w:spacing w:before="480" w:after="240"/>
      </w:pPr>
      <w:r>
        <w:t>Procurement Implications</w:t>
      </w:r>
    </w:p>
    <w:p w14:paraId="356E4F56" w14:textId="6177394A" w:rsidR="00C56451" w:rsidRDefault="002F1E11" w:rsidP="002F1E11">
      <w:pPr>
        <w:suppressAutoHyphens/>
        <w:autoSpaceDN w:val="0"/>
        <w:spacing w:line="276" w:lineRule="auto"/>
        <w:ind w:left="720" w:hanging="720"/>
        <w:jc w:val="both"/>
        <w:textAlignment w:val="baseline"/>
        <w:rPr>
          <w:rFonts w:cs="Arial"/>
        </w:rPr>
      </w:pPr>
      <w:r w:rsidRPr="4746A3DC">
        <w:rPr>
          <w:rFonts w:cs="Arial"/>
        </w:rPr>
        <w:t>8.1</w:t>
      </w:r>
      <w:r>
        <w:tab/>
      </w:r>
      <w:r w:rsidR="00EF0B70" w:rsidRPr="4746A3DC">
        <w:rPr>
          <w:rFonts w:cs="Arial"/>
        </w:rPr>
        <w:t>The procurement process will be carried out in accordance with the Public Contract Regulations 2015</w:t>
      </w:r>
      <w:r w:rsidR="1C2F607F" w:rsidRPr="4746A3DC">
        <w:rPr>
          <w:rFonts w:cs="Arial"/>
        </w:rPr>
        <w:t xml:space="preserve"> and the Council’s Contract Procedure Rules.</w:t>
      </w:r>
      <w:r w:rsidR="00EF0B70" w:rsidRPr="4746A3DC">
        <w:rPr>
          <w:rFonts w:cs="Arial"/>
        </w:rPr>
        <w:t xml:space="preserve"> A UK Notice will be issued and the Council will follow an Open Procedure route. The </w:t>
      </w:r>
      <w:r w:rsidR="00C56451" w:rsidRPr="4746A3DC">
        <w:rPr>
          <w:rFonts w:cs="Arial"/>
        </w:rPr>
        <w:t>proposed top level evaluation criteria will be:</w:t>
      </w:r>
    </w:p>
    <w:p w14:paraId="163C3749" w14:textId="1F2198EE" w:rsidR="00C56451" w:rsidRDefault="00C56451" w:rsidP="002F1E11">
      <w:pPr>
        <w:suppressAutoHyphens/>
        <w:autoSpaceDN w:val="0"/>
        <w:spacing w:line="276" w:lineRule="auto"/>
        <w:ind w:left="720" w:hanging="720"/>
        <w:jc w:val="both"/>
        <w:textAlignment w:val="baseline"/>
        <w:rPr>
          <w:rFonts w:cs="Arial"/>
          <w:bCs/>
          <w:szCs w:val="24"/>
        </w:rPr>
      </w:pPr>
    </w:p>
    <w:p w14:paraId="2966D082" w14:textId="2DF09E02" w:rsidR="00C56451" w:rsidRDefault="00C56451" w:rsidP="00C56451">
      <w:pPr>
        <w:pStyle w:val="ListParagraph"/>
        <w:numPr>
          <w:ilvl w:val="0"/>
          <w:numId w:val="33"/>
        </w:numPr>
        <w:suppressAutoHyphens/>
        <w:autoSpaceDN w:val="0"/>
        <w:spacing w:line="276" w:lineRule="auto"/>
        <w:jc w:val="both"/>
        <w:textAlignment w:val="baseline"/>
        <w:rPr>
          <w:rFonts w:cs="Arial"/>
          <w:bCs/>
          <w:szCs w:val="24"/>
        </w:rPr>
      </w:pPr>
      <w:r w:rsidRPr="00C56451">
        <w:rPr>
          <w:rFonts w:cs="Arial"/>
          <w:bCs/>
          <w:szCs w:val="24"/>
        </w:rPr>
        <w:t xml:space="preserve">Price </w:t>
      </w:r>
      <w:r w:rsidR="00C0024E">
        <w:rPr>
          <w:rFonts w:cs="Arial"/>
          <w:bCs/>
          <w:szCs w:val="24"/>
        </w:rPr>
        <w:t>40</w:t>
      </w:r>
      <w:r w:rsidRPr="00C56451">
        <w:rPr>
          <w:rFonts w:cs="Arial"/>
          <w:bCs/>
          <w:szCs w:val="24"/>
        </w:rPr>
        <w:t>%</w:t>
      </w:r>
    </w:p>
    <w:p w14:paraId="4A775CF0" w14:textId="1F77981D" w:rsidR="00C56451" w:rsidRDefault="00C56451" w:rsidP="00C56451">
      <w:pPr>
        <w:pStyle w:val="ListParagraph"/>
        <w:numPr>
          <w:ilvl w:val="0"/>
          <w:numId w:val="33"/>
        </w:numPr>
        <w:suppressAutoHyphens/>
        <w:autoSpaceDN w:val="0"/>
        <w:spacing w:line="276" w:lineRule="auto"/>
        <w:jc w:val="both"/>
        <w:textAlignment w:val="baseline"/>
        <w:rPr>
          <w:rFonts w:cs="Arial"/>
          <w:bCs/>
          <w:szCs w:val="24"/>
        </w:rPr>
      </w:pPr>
      <w:r>
        <w:rPr>
          <w:rFonts w:cs="Arial"/>
          <w:bCs/>
          <w:szCs w:val="24"/>
        </w:rPr>
        <w:t xml:space="preserve">Quality </w:t>
      </w:r>
      <w:r w:rsidR="00C0024E">
        <w:rPr>
          <w:rFonts w:cs="Arial"/>
          <w:bCs/>
          <w:szCs w:val="24"/>
        </w:rPr>
        <w:t>50</w:t>
      </w:r>
      <w:r>
        <w:rPr>
          <w:rFonts w:cs="Arial"/>
          <w:bCs/>
          <w:szCs w:val="24"/>
        </w:rPr>
        <w:t xml:space="preserve">% (including 5% allocated to </w:t>
      </w:r>
      <w:r w:rsidR="00D5569F">
        <w:rPr>
          <w:rFonts w:cs="Arial"/>
          <w:bCs/>
          <w:szCs w:val="24"/>
        </w:rPr>
        <w:t>C</w:t>
      </w:r>
      <w:r>
        <w:rPr>
          <w:rFonts w:cs="Arial"/>
          <w:bCs/>
          <w:szCs w:val="24"/>
        </w:rPr>
        <w:t>arbon Reduction)</w:t>
      </w:r>
    </w:p>
    <w:p w14:paraId="029A61BB" w14:textId="14E5BDD4" w:rsidR="00C56451" w:rsidRDefault="00C56451" w:rsidP="00C56451">
      <w:pPr>
        <w:pStyle w:val="ListParagraph"/>
        <w:numPr>
          <w:ilvl w:val="0"/>
          <w:numId w:val="33"/>
        </w:numPr>
        <w:suppressAutoHyphens/>
        <w:autoSpaceDN w:val="0"/>
        <w:spacing w:line="276" w:lineRule="auto"/>
        <w:jc w:val="both"/>
        <w:textAlignment w:val="baseline"/>
        <w:rPr>
          <w:rFonts w:cs="Arial"/>
          <w:bCs/>
          <w:szCs w:val="24"/>
        </w:rPr>
      </w:pPr>
      <w:r>
        <w:rPr>
          <w:rFonts w:cs="Arial"/>
          <w:bCs/>
          <w:szCs w:val="24"/>
        </w:rPr>
        <w:t>Social Value 10%</w:t>
      </w:r>
    </w:p>
    <w:p w14:paraId="44413A6E" w14:textId="77777777" w:rsidR="00333FAA" w:rsidRDefault="00333FAA" w:rsidP="00A1211C">
      <w:pPr>
        <w:pStyle w:val="Heading3"/>
        <w:spacing w:before="480" w:after="240"/>
      </w:pPr>
      <w:r>
        <w:t>Legal Implications</w:t>
      </w:r>
    </w:p>
    <w:p w14:paraId="79599D6E" w14:textId="010184BE" w:rsidR="004A789C" w:rsidRPr="004A789C" w:rsidRDefault="004A789C" w:rsidP="004A789C">
      <w:pPr>
        <w:suppressAutoHyphens/>
        <w:autoSpaceDN w:val="0"/>
        <w:spacing w:line="276" w:lineRule="auto"/>
        <w:ind w:left="720" w:hanging="720"/>
        <w:jc w:val="both"/>
        <w:textAlignment w:val="baseline"/>
        <w:rPr>
          <w:rFonts w:cs="Arial"/>
        </w:rPr>
      </w:pPr>
      <w:r w:rsidRPr="768575A6">
        <w:rPr>
          <w:rFonts w:cs="Arial"/>
        </w:rPr>
        <w:t>9.1</w:t>
      </w:r>
      <w:r>
        <w:tab/>
      </w:r>
      <w:r w:rsidRPr="768575A6">
        <w:rPr>
          <w:rFonts w:cs="Arial"/>
        </w:rPr>
        <w:t xml:space="preserve">The value of the Council’s proposed spend for the services as set out in this report exceeds the </w:t>
      </w:r>
      <w:r w:rsidRPr="6BEA38F5">
        <w:rPr>
          <w:rFonts w:cs="Arial"/>
        </w:rPr>
        <w:t>relevant procurement threshold.</w:t>
      </w:r>
      <w:r w:rsidRPr="768575A6">
        <w:rPr>
          <w:rFonts w:cs="Arial"/>
        </w:rPr>
        <w:t xml:space="preserve">  The Services fall within Schedule 3 (Social &amp; Other Specific Services) of the Public Contracts Regulations 2015 (PCR 2015) and the threshold is £663,540. The PCR 2015 therefore require a Procurement exercise to be undertaken as is proposed in this report. </w:t>
      </w:r>
    </w:p>
    <w:p w14:paraId="7DF98FA6" w14:textId="77777777" w:rsidR="004A789C" w:rsidRPr="004A789C" w:rsidRDefault="004A789C" w:rsidP="004A789C">
      <w:pPr>
        <w:suppressAutoHyphens/>
        <w:autoSpaceDN w:val="0"/>
        <w:spacing w:line="276" w:lineRule="auto"/>
        <w:jc w:val="both"/>
        <w:textAlignment w:val="baseline"/>
        <w:rPr>
          <w:rFonts w:cs="Arial"/>
          <w:szCs w:val="24"/>
        </w:rPr>
      </w:pPr>
    </w:p>
    <w:p w14:paraId="6A08DBE6" w14:textId="77777777" w:rsidR="004A789C" w:rsidRPr="004A789C" w:rsidRDefault="004A789C" w:rsidP="004A789C">
      <w:pPr>
        <w:suppressAutoHyphens/>
        <w:autoSpaceDN w:val="0"/>
        <w:spacing w:line="276" w:lineRule="auto"/>
        <w:ind w:left="720" w:hanging="720"/>
        <w:jc w:val="both"/>
        <w:textAlignment w:val="baseline"/>
        <w:rPr>
          <w:rFonts w:cs="Arial"/>
          <w:szCs w:val="24"/>
        </w:rPr>
      </w:pPr>
      <w:r w:rsidRPr="004A789C">
        <w:rPr>
          <w:rFonts w:cs="Arial"/>
          <w:szCs w:val="24"/>
        </w:rPr>
        <w:t>9.2</w:t>
      </w:r>
      <w:r w:rsidRPr="004A789C">
        <w:rPr>
          <w:rFonts w:cs="Arial"/>
          <w:szCs w:val="24"/>
        </w:rPr>
        <w:tab/>
        <w:t>In accordance with the Council’s Contract Procedure Rules (CPRs), for contracts with a total aggregate value of £500,000 and over, authorisation to commence the procurement must be sought from Cabinet.</w:t>
      </w:r>
    </w:p>
    <w:p w14:paraId="70E8E57C" w14:textId="77777777" w:rsidR="004A789C" w:rsidRPr="004A789C" w:rsidRDefault="004A789C" w:rsidP="004A789C">
      <w:pPr>
        <w:suppressAutoHyphens/>
        <w:autoSpaceDN w:val="0"/>
        <w:spacing w:line="276" w:lineRule="auto"/>
        <w:ind w:left="720" w:hanging="720"/>
        <w:jc w:val="both"/>
        <w:textAlignment w:val="baseline"/>
        <w:rPr>
          <w:rFonts w:cs="Arial"/>
          <w:szCs w:val="24"/>
        </w:rPr>
      </w:pPr>
      <w:r w:rsidRPr="004A789C">
        <w:rPr>
          <w:rFonts w:cs="Arial"/>
          <w:szCs w:val="24"/>
        </w:rPr>
        <w:t xml:space="preserve"> </w:t>
      </w:r>
    </w:p>
    <w:p w14:paraId="31B8CB92" w14:textId="77777777" w:rsidR="004A789C" w:rsidRPr="004A789C" w:rsidRDefault="004A789C" w:rsidP="004A789C">
      <w:pPr>
        <w:suppressAutoHyphens/>
        <w:autoSpaceDN w:val="0"/>
        <w:spacing w:line="276" w:lineRule="auto"/>
        <w:ind w:left="720" w:hanging="720"/>
        <w:jc w:val="both"/>
        <w:textAlignment w:val="baseline"/>
        <w:rPr>
          <w:rFonts w:cs="Arial"/>
          <w:szCs w:val="24"/>
        </w:rPr>
      </w:pPr>
      <w:r w:rsidRPr="004A789C">
        <w:rPr>
          <w:rFonts w:cs="Arial"/>
          <w:szCs w:val="24"/>
        </w:rPr>
        <w:t>9.3</w:t>
      </w:r>
      <w:r w:rsidRPr="004A789C">
        <w:rPr>
          <w:rFonts w:cs="Arial"/>
          <w:szCs w:val="24"/>
        </w:rPr>
        <w:tab/>
        <w:t>Legal have been instructed to draft the contract terms and conditions for both Lots and the contracts will be included as part of the invitation to tender documents. The final contracts will be sealed in accordance with the CPRs.</w:t>
      </w:r>
    </w:p>
    <w:p w14:paraId="19666DE4" w14:textId="77777777" w:rsidR="004A789C" w:rsidRPr="004A789C" w:rsidRDefault="004A789C" w:rsidP="004A789C">
      <w:pPr>
        <w:suppressAutoHyphens/>
        <w:autoSpaceDN w:val="0"/>
        <w:spacing w:line="276" w:lineRule="auto"/>
        <w:jc w:val="both"/>
        <w:textAlignment w:val="baseline"/>
        <w:rPr>
          <w:rFonts w:cs="Arial"/>
          <w:szCs w:val="24"/>
        </w:rPr>
      </w:pPr>
    </w:p>
    <w:p w14:paraId="0992931B" w14:textId="77777777" w:rsidR="004A789C" w:rsidRPr="004A789C" w:rsidRDefault="004A789C" w:rsidP="004A789C">
      <w:pPr>
        <w:suppressAutoHyphens/>
        <w:autoSpaceDN w:val="0"/>
        <w:spacing w:line="276" w:lineRule="auto"/>
        <w:jc w:val="both"/>
        <w:textAlignment w:val="baseline"/>
        <w:rPr>
          <w:rFonts w:cs="Arial"/>
          <w:szCs w:val="24"/>
        </w:rPr>
      </w:pPr>
      <w:r w:rsidRPr="004A789C">
        <w:rPr>
          <w:rFonts w:cs="Arial"/>
          <w:szCs w:val="24"/>
        </w:rPr>
        <w:t>9.4</w:t>
      </w:r>
      <w:r w:rsidRPr="004A789C">
        <w:rPr>
          <w:rFonts w:cs="Arial"/>
          <w:szCs w:val="24"/>
        </w:rPr>
        <w:tab/>
        <w:t>The service enables the Council to discharge its duties in relation to:</w:t>
      </w:r>
    </w:p>
    <w:p w14:paraId="57222D07" w14:textId="77777777" w:rsidR="004A789C" w:rsidRPr="004A789C" w:rsidRDefault="004A789C" w:rsidP="004A789C">
      <w:pPr>
        <w:numPr>
          <w:ilvl w:val="0"/>
          <w:numId w:val="28"/>
        </w:numPr>
        <w:suppressAutoHyphens/>
        <w:autoSpaceDE w:val="0"/>
        <w:autoSpaceDN w:val="0"/>
        <w:jc w:val="both"/>
        <w:textAlignment w:val="baseline"/>
        <w:rPr>
          <w:rFonts w:eastAsia="Calibri" w:cs="Arial"/>
          <w:szCs w:val="24"/>
        </w:rPr>
      </w:pPr>
      <w:r w:rsidRPr="004A789C">
        <w:rPr>
          <w:rFonts w:eastAsia="Calibri" w:cs="Arial"/>
          <w:szCs w:val="24"/>
        </w:rPr>
        <w:lastRenderedPageBreak/>
        <w:t>Crime and Disorder Act 1998</w:t>
      </w:r>
    </w:p>
    <w:p w14:paraId="5526448D" w14:textId="77777777" w:rsidR="004A789C" w:rsidRPr="004A789C" w:rsidRDefault="004A789C" w:rsidP="004A789C">
      <w:pPr>
        <w:numPr>
          <w:ilvl w:val="0"/>
          <w:numId w:val="28"/>
        </w:numPr>
        <w:suppressAutoHyphens/>
        <w:autoSpaceDE w:val="0"/>
        <w:autoSpaceDN w:val="0"/>
        <w:jc w:val="both"/>
        <w:textAlignment w:val="baseline"/>
        <w:rPr>
          <w:rFonts w:eastAsia="Calibri" w:cs="Arial"/>
          <w:szCs w:val="24"/>
        </w:rPr>
      </w:pPr>
      <w:r w:rsidRPr="004A789C">
        <w:rPr>
          <w:rFonts w:eastAsia="Calibri" w:cs="Arial"/>
          <w:szCs w:val="24"/>
        </w:rPr>
        <w:t>The Domestic Abuse Act 2021</w:t>
      </w:r>
    </w:p>
    <w:p w14:paraId="3820BB5A" w14:textId="77777777" w:rsidR="004A789C" w:rsidRPr="004A789C" w:rsidRDefault="004A789C" w:rsidP="004A789C">
      <w:pPr>
        <w:numPr>
          <w:ilvl w:val="0"/>
          <w:numId w:val="28"/>
        </w:numPr>
        <w:suppressAutoHyphens/>
        <w:autoSpaceDE w:val="0"/>
        <w:autoSpaceDN w:val="0"/>
        <w:jc w:val="both"/>
        <w:textAlignment w:val="baseline"/>
        <w:rPr>
          <w:rFonts w:eastAsia="Calibri" w:cs="Arial"/>
        </w:rPr>
      </w:pPr>
      <w:r w:rsidRPr="004A789C">
        <w:rPr>
          <w:rFonts w:eastAsia="Calibri" w:cs="Arial"/>
          <w:color w:val="000000"/>
          <w:szCs w:val="24"/>
          <w:lang w:eastAsia="en-GB"/>
        </w:rPr>
        <w:t>The Children Act 1989</w:t>
      </w:r>
      <w:r w:rsidRPr="004A789C">
        <w:rPr>
          <w:rFonts w:ascii="&amp;quot" w:eastAsia="Calibri" w:hAnsi="&amp;quot" w:cs="Arial"/>
          <w:color w:val="000000"/>
          <w:szCs w:val="24"/>
          <w:lang w:eastAsia="en-GB"/>
        </w:rPr>
        <w:t xml:space="preserve"> </w:t>
      </w:r>
    </w:p>
    <w:p w14:paraId="5AC03546" w14:textId="77777777" w:rsidR="004A789C" w:rsidRPr="004A789C" w:rsidRDefault="004A789C" w:rsidP="004A789C">
      <w:pPr>
        <w:numPr>
          <w:ilvl w:val="0"/>
          <w:numId w:val="28"/>
        </w:numPr>
        <w:suppressAutoHyphens/>
        <w:autoSpaceDE w:val="0"/>
        <w:autoSpaceDN w:val="0"/>
        <w:jc w:val="both"/>
        <w:textAlignment w:val="baseline"/>
        <w:rPr>
          <w:rFonts w:eastAsia="Calibri" w:cs="Arial"/>
          <w:szCs w:val="24"/>
        </w:rPr>
      </w:pPr>
      <w:r w:rsidRPr="004A789C">
        <w:rPr>
          <w:rFonts w:eastAsia="Calibri" w:cs="Arial"/>
          <w:szCs w:val="24"/>
        </w:rPr>
        <w:t xml:space="preserve">The Care Act 2014 </w:t>
      </w:r>
    </w:p>
    <w:p w14:paraId="1AC8A682" w14:textId="77777777" w:rsidR="004A789C" w:rsidRPr="004A789C" w:rsidRDefault="004A789C" w:rsidP="004A789C">
      <w:pPr>
        <w:numPr>
          <w:ilvl w:val="0"/>
          <w:numId w:val="28"/>
        </w:numPr>
        <w:suppressAutoHyphens/>
        <w:autoSpaceDE w:val="0"/>
        <w:autoSpaceDN w:val="0"/>
        <w:jc w:val="both"/>
        <w:textAlignment w:val="baseline"/>
        <w:rPr>
          <w:rFonts w:eastAsia="Calibri" w:cs="Arial"/>
          <w:szCs w:val="24"/>
        </w:rPr>
      </w:pPr>
      <w:r w:rsidRPr="004A789C">
        <w:rPr>
          <w:rFonts w:eastAsia="Calibri" w:cs="Arial"/>
          <w:szCs w:val="24"/>
        </w:rPr>
        <w:t xml:space="preserve">Housing (1996) and Homelessness (2002) Acts </w:t>
      </w:r>
    </w:p>
    <w:p w14:paraId="1EA8882B" w14:textId="77777777" w:rsidR="004A789C" w:rsidRPr="004A789C" w:rsidRDefault="004A789C" w:rsidP="004A789C">
      <w:pPr>
        <w:numPr>
          <w:ilvl w:val="0"/>
          <w:numId w:val="28"/>
        </w:numPr>
        <w:suppressAutoHyphens/>
        <w:autoSpaceDE w:val="0"/>
        <w:autoSpaceDN w:val="0"/>
        <w:jc w:val="both"/>
        <w:textAlignment w:val="baseline"/>
        <w:rPr>
          <w:rFonts w:eastAsia="Calibri" w:cs="Arial"/>
          <w:szCs w:val="24"/>
        </w:rPr>
      </w:pPr>
      <w:r w:rsidRPr="004A789C">
        <w:rPr>
          <w:rFonts w:eastAsia="Calibri" w:cs="Arial"/>
          <w:szCs w:val="24"/>
        </w:rPr>
        <w:t>The Homelessness Reduction Act 2017</w:t>
      </w:r>
    </w:p>
    <w:p w14:paraId="11F2AC04" w14:textId="3AEE825B" w:rsidR="00333FAA" w:rsidRDefault="00443DB4" w:rsidP="00A1211C">
      <w:pPr>
        <w:pStyle w:val="Heading3"/>
        <w:spacing w:before="480" w:after="240"/>
      </w:pPr>
      <w:r>
        <w:t xml:space="preserve">10. </w:t>
      </w:r>
      <w:r w:rsidR="00333FAA">
        <w:t>Financial Implications</w:t>
      </w:r>
    </w:p>
    <w:p w14:paraId="1B730A81" w14:textId="4353B801" w:rsidR="006768AB" w:rsidRPr="00CA0750" w:rsidRDefault="006768AB" w:rsidP="006768AB">
      <w:pPr>
        <w:suppressAutoHyphens/>
        <w:autoSpaceDN w:val="0"/>
        <w:ind w:left="720" w:hanging="720"/>
        <w:jc w:val="both"/>
        <w:textAlignment w:val="baseline"/>
        <w:rPr>
          <w:szCs w:val="24"/>
        </w:rPr>
      </w:pPr>
      <w:r>
        <w:rPr>
          <w:szCs w:val="24"/>
        </w:rPr>
        <w:t>10.1</w:t>
      </w:r>
      <w:r>
        <w:rPr>
          <w:szCs w:val="24"/>
        </w:rPr>
        <w:tab/>
      </w:r>
      <w:r w:rsidRPr="00CA0750">
        <w:rPr>
          <w:szCs w:val="24"/>
        </w:rPr>
        <w:t>The award for this contract requires an annual budget of £341,655</w:t>
      </w:r>
      <w:r w:rsidR="00165B33" w:rsidRPr="00D47841">
        <w:rPr>
          <w:szCs w:val="24"/>
        </w:rPr>
        <w:t xml:space="preserve"> over three years</w:t>
      </w:r>
      <w:r w:rsidR="00165B33" w:rsidRPr="00F71C0A">
        <w:rPr>
          <w:szCs w:val="24"/>
        </w:rPr>
        <w:t>,</w:t>
      </w:r>
      <w:r w:rsidR="00165B33" w:rsidRPr="00B00B99">
        <w:rPr>
          <w:szCs w:val="24"/>
        </w:rPr>
        <w:t xml:space="preserve"> </w:t>
      </w:r>
      <w:r w:rsidR="00165B33" w:rsidRPr="000E2919">
        <w:rPr>
          <w:szCs w:val="24"/>
        </w:rPr>
        <w:t>£1,024,965 in total</w:t>
      </w:r>
      <w:r w:rsidRPr="00B9618A">
        <w:rPr>
          <w:szCs w:val="24"/>
        </w:rPr>
        <w:t xml:space="preserve">. </w:t>
      </w:r>
    </w:p>
    <w:p w14:paraId="2766A9BE" w14:textId="77777777" w:rsidR="006768AB" w:rsidRPr="00F71C0A" w:rsidRDefault="006768AB" w:rsidP="006768AB">
      <w:pPr>
        <w:suppressAutoHyphens/>
        <w:autoSpaceDN w:val="0"/>
        <w:jc w:val="both"/>
        <w:textAlignment w:val="baseline"/>
        <w:rPr>
          <w:szCs w:val="24"/>
        </w:rPr>
      </w:pPr>
    </w:p>
    <w:p w14:paraId="288A9E50" w14:textId="7E5F338B" w:rsidR="006768AB" w:rsidRPr="0096410F" w:rsidRDefault="006768AB" w:rsidP="006768AB">
      <w:pPr>
        <w:suppressAutoHyphens/>
        <w:autoSpaceDN w:val="0"/>
        <w:textAlignment w:val="baseline"/>
        <w:rPr>
          <w:rFonts w:cs="Arial"/>
          <w:szCs w:val="24"/>
        </w:rPr>
      </w:pPr>
      <w:r w:rsidRPr="00B00B99">
        <w:rPr>
          <w:rFonts w:cs="Arial"/>
          <w:szCs w:val="24"/>
        </w:rPr>
        <w:t>10.2</w:t>
      </w:r>
      <w:r w:rsidRPr="00B00B99">
        <w:rPr>
          <w:rFonts w:cs="Arial"/>
          <w:szCs w:val="24"/>
        </w:rPr>
        <w:tab/>
        <w:t xml:space="preserve">The table below </w:t>
      </w:r>
      <w:r w:rsidRPr="0096410F">
        <w:rPr>
          <w:rFonts w:cs="Arial"/>
          <w:szCs w:val="24"/>
        </w:rPr>
        <w:t xml:space="preserve">details the budget breakdown.  </w:t>
      </w:r>
    </w:p>
    <w:p w14:paraId="2F9505AE" w14:textId="77777777" w:rsidR="006768AB" w:rsidRPr="007915FB" w:rsidRDefault="006768AB" w:rsidP="006768AB">
      <w:pPr>
        <w:suppressAutoHyphens/>
        <w:autoSpaceDN w:val="0"/>
        <w:textAlignment w:val="baseline"/>
        <w:rPr>
          <w:rFonts w:cs="Arial"/>
          <w:b/>
          <w:szCs w:val="24"/>
        </w:rPr>
      </w:pPr>
    </w:p>
    <w:p w14:paraId="5B227F3D" w14:textId="17D3E98D" w:rsidR="00377011" w:rsidRPr="007915FB" w:rsidRDefault="006768AB" w:rsidP="00377011">
      <w:pPr>
        <w:suppressAutoHyphens/>
        <w:autoSpaceDN w:val="0"/>
        <w:jc w:val="both"/>
        <w:textAlignment w:val="baseline"/>
        <w:rPr>
          <w:rFonts w:cs="Arial"/>
          <w:b/>
          <w:bCs/>
          <w:szCs w:val="24"/>
        </w:rPr>
      </w:pPr>
      <w:r w:rsidRPr="007915FB">
        <w:rPr>
          <w:rFonts w:cs="Arial"/>
          <w:b/>
          <w:szCs w:val="24"/>
        </w:rPr>
        <w:t xml:space="preserve">Table 1: </w:t>
      </w:r>
      <w:r w:rsidR="00377011" w:rsidRPr="007915FB">
        <w:rPr>
          <w:rFonts w:cs="Arial"/>
          <w:b/>
          <w:bCs/>
          <w:szCs w:val="24"/>
        </w:rPr>
        <w:t>Domestic Abuse contract funding from 1</w:t>
      </w:r>
      <w:r w:rsidR="00377011" w:rsidRPr="007915FB">
        <w:rPr>
          <w:rFonts w:cs="Arial"/>
          <w:b/>
          <w:bCs/>
          <w:szCs w:val="24"/>
          <w:vertAlign w:val="superscript"/>
        </w:rPr>
        <w:t>st</w:t>
      </w:r>
      <w:r w:rsidR="00377011" w:rsidRPr="007915FB">
        <w:rPr>
          <w:rFonts w:cs="Arial"/>
          <w:b/>
          <w:bCs/>
          <w:szCs w:val="24"/>
        </w:rPr>
        <w:t xml:space="preserve"> April 2023 to 31</w:t>
      </w:r>
      <w:r w:rsidR="00377011" w:rsidRPr="007915FB">
        <w:rPr>
          <w:rFonts w:cs="Arial"/>
          <w:b/>
          <w:bCs/>
          <w:szCs w:val="24"/>
          <w:vertAlign w:val="superscript"/>
        </w:rPr>
        <w:t>st</w:t>
      </w:r>
      <w:r w:rsidR="00377011" w:rsidRPr="007915FB">
        <w:rPr>
          <w:rFonts w:cs="Arial"/>
          <w:b/>
          <w:bCs/>
          <w:szCs w:val="24"/>
        </w:rPr>
        <w:t xml:space="preserve"> March 2026 </w:t>
      </w:r>
    </w:p>
    <w:p w14:paraId="576F744C" w14:textId="77777777" w:rsidR="006768AB" w:rsidRPr="006768AB" w:rsidRDefault="006768AB" w:rsidP="006768AB">
      <w:pPr>
        <w:suppressAutoHyphens/>
        <w:autoSpaceDN w:val="0"/>
        <w:jc w:val="both"/>
        <w:textAlignment w:val="baseline"/>
        <w:rPr>
          <w:rFonts w:cs="Arial"/>
          <w:szCs w:val="24"/>
        </w:rPr>
      </w:pPr>
    </w:p>
    <w:tbl>
      <w:tblPr>
        <w:tblW w:w="8299" w:type="dxa"/>
        <w:tblCellMar>
          <w:left w:w="10" w:type="dxa"/>
          <w:right w:w="10" w:type="dxa"/>
        </w:tblCellMar>
        <w:tblLook w:val="0000" w:firstRow="0" w:lastRow="0" w:firstColumn="0" w:lastColumn="0" w:noHBand="0" w:noVBand="0"/>
      </w:tblPr>
      <w:tblGrid>
        <w:gridCol w:w="2613"/>
        <w:gridCol w:w="1913"/>
        <w:gridCol w:w="1859"/>
        <w:gridCol w:w="1914"/>
      </w:tblGrid>
      <w:tr w:rsidR="006768AB" w:rsidRPr="006768AB" w14:paraId="090123B9" w14:textId="77777777" w:rsidTr="004877B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D5982" w14:textId="4FD1E723" w:rsidR="006768AB" w:rsidRPr="006768AB" w:rsidRDefault="006768AB" w:rsidP="006768AB">
            <w:pPr>
              <w:suppressAutoHyphens/>
              <w:autoSpaceDN w:val="0"/>
              <w:jc w:val="both"/>
              <w:textAlignment w:val="baseline"/>
              <w:rPr>
                <w:rFonts w:cs="Arial"/>
                <w:szCs w:val="24"/>
                <w:lang w:eastAsia="en-GB"/>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FAF2A" w14:textId="3ED7AE4E" w:rsidR="006768AB" w:rsidRPr="006768AB" w:rsidRDefault="006768AB" w:rsidP="006768AB">
            <w:pPr>
              <w:suppressAutoHyphens/>
              <w:autoSpaceDN w:val="0"/>
              <w:jc w:val="center"/>
              <w:textAlignment w:val="baseline"/>
              <w:rPr>
                <w:rFonts w:cs="Arial"/>
                <w:b/>
                <w:bCs/>
                <w:szCs w:val="24"/>
                <w:lang w:eastAsia="en-GB"/>
              </w:rPr>
            </w:pPr>
            <w:r w:rsidRPr="006768AB">
              <w:rPr>
                <w:rFonts w:cs="Arial"/>
                <w:b/>
                <w:bCs/>
                <w:szCs w:val="24"/>
                <w:lang w:eastAsia="en-GB"/>
              </w:rPr>
              <w:t>April 2023 – March 2024</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970D" w14:textId="7D752270" w:rsidR="006768AB" w:rsidRPr="006768AB" w:rsidRDefault="006768AB" w:rsidP="006768AB">
            <w:pPr>
              <w:suppressAutoHyphens/>
              <w:autoSpaceDN w:val="0"/>
              <w:jc w:val="center"/>
              <w:textAlignment w:val="baseline"/>
              <w:rPr>
                <w:rFonts w:cs="Arial"/>
                <w:b/>
                <w:bCs/>
                <w:szCs w:val="24"/>
                <w:lang w:eastAsia="en-GB"/>
              </w:rPr>
            </w:pPr>
            <w:r w:rsidRPr="006768AB">
              <w:rPr>
                <w:rFonts w:cs="Arial"/>
                <w:b/>
                <w:bCs/>
                <w:szCs w:val="24"/>
                <w:lang w:eastAsia="en-GB"/>
              </w:rPr>
              <w:t>April 2024 – March 2025</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C1C9" w14:textId="2ECAEDF1" w:rsidR="006768AB" w:rsidRPr="006768AB" w:rsidRDefault="006768AB" w:rsidP="006768AB">
            <w:pPr>
              <w:suppressAutoHyphens/>
              <w:autoSpaceDN w:val="0"/>
              <w:jc w:val="center"/>
              <w:textAlignment w:val="baseline"/>
              <w:rPr>
                <w:rFonts w:cs="Arial"/>
                <w:b/>
                <w:bCs/>
                <w:szCs w:val="24"/>
                <w:lang w:eastAsia="en-GB"/>
              </w:rPr>
            </w:pPr>
            <w:r w:rsidRPr="006768AB">
              <w:rPr>
                <w:rFonts w:cs="Arial"/>
                <w:b/>
                <w:bCs/>
                <w:szCs w:val="24"/>
                <w:lang w:eastAsia="en-GB"/>
              </w:rPr>
              <w:t>April 2025 – March 2026</w:t>
            </w:r>
          </w:p>
        </w:tc>
      </w:tr>
      <w:tr w:rsidR="006768AB" w:rsidRPr="006768AB" w14:paraId="08D926E0" w14:textId="77777777" w:rsidTr="004877B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32AC" w14:textId="0800DB4D" w:rsidR="006768AB" w:rsidRPr="006768AB" w:rsidRDefault="00443DB4" w:rsidP="006768AB">
            <w:pPr>
              <w:suppressAutoHyphens/>
              <w:autoSpaceDN w:val="0"/>
              <w:jc w:val="both"/>
              <w:textAlignment w:val="baseline"/>
              <w:rPr>
                <w:rFonts w:cs="Arial"/>
                <w:b/>
                <w:bCs/>
                <w:szCs w:val="24"/>
                <w:lang w:eastAsia="en-GB"/>
              </w:rPr>
            </w:pPr>
            <w:r>
              <w:rPr>
                <w:rFonts w:cs="Arial"/>
                <w:b/>
                <w:bCs/>
                <w:szCs w:val="24"/>
                <w:lang w:eastAsia="en-GB"/>
              </w:rPr>
              <w:t>External funding LCPF</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8A863" w14:textId="5DBF2DA5"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£120,000</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07E69" w14:textId="5D586D71"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£120,000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E4E92" w14:textId="066E3517"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w:t>
            </w:r>
            <w:r w:rsidR="00512A7D" w:rsidRPr="00512A7D">
              <w:rPr>
                <w:rFonts w:cs="Arial"/>
                <w:szCs w:val="24"/>
                <w:lang w:eastAsia="en-GB"/>
              </w:rPr>
              <w:t>120,000*</w:t>
            </w:r>
            <w:r w:rsidR="007D180D">
              <w:rPr>
                <w:rFonts w:cs="Arial"/>
                <w:szCs w:val="24"/>
                <w:lang w:eastAsia="en-GB"/>
              </w:rPr>
              <w:t xml:space="preserve"> </w:t>
            </w:r>
          </w:p>
        </w:tc>
      </w:tr>
      <w:tr w:rsidR="006768AB" w:rsidRPr="006768AB" w14:paraId="1BD5A946" w14:textId="77777777" w:rsidTr="004877B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50392" w14:textId="60752B0A" w:rsidR="006768AB" w:rsidRPr="006768AB" w:rsidRDefault="006768AB" w:rsidP="006768AB">
            <w:pPr>
              <w:suppressAutoHyphens/>
              <w:autoSpaceDN w:val="0"/>
              <w:jc w:val="both"/>
              <w:textAlignment w:val="baseline"/>
              <w:rPr>
                <w:rFonts w:cs="Arial"/>
                <w:b/>
                <w:bCs/>
                <w:szCs w:val="24"/>
                <w:lang w:eastAsia="en-GB"/>
              </w:rPr>
            </w:pPr>
            <w:r w:rsidRPr="006768AB">
              <w:rPr>
                <w:rFonts w:cs="Arial"/>
                <w:b/>
                <w:bCs/>
                <w:szCs w:val="24"/>
                <w:lang w:eastAsia="en-GB"/>
              </w:rPr>
              <w:t>Housing</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A13F" w14:textId="65B5C42F"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£72,000</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EA58" w14:textId="2FF72BCF"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£72,000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F0092" w14:textId="33CE8F7D"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£72,000</w:t>
            </w:r>
          </w:p>
        </w:tc>
      </w:tr>
      <w:tr w:rsidR="006768AB" w:rsidRPr="006768AB" w14:paraId="24129C13" w14:textId="77777777" w:rsidTr="004877B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B99CD" w14:textId="1A0BE8DD" w:rsidR="006768AB" w:rsidRPr="006768AB" w:rsidRDefault="006768AB" w:rsidP="006768AB">
            <w:pPr>
              <w:suppressAutoHyphens/>
              <w:autoSpaceDN w:val="0"/>
              <w:jc w:val="both"/>
              <w:textAlignment w:val="baseline"/>
              <w:rPr>
                <w:rFonts w:cs="Arial"/>
                <w:b/>
                <w:bCs/>
                <w:szCs w:val="24"/>
                <w:lang w:eastAsia="en-GB"/>
              </w:rPr>
            </w:pPr>
            <w:r w:rsidRPr="006768AB">
              <w:rPr>
                <w:rFonts w:cs="Arial"/>
                <w:b/>
                <w:bCs/>
                <w:szCs w:val="24"/>
                <w:lang w:eastAsia="en-GB"/>
              </w:rPr>
              <w:t>Children’s Services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303B" w14:textId="1DE91A57"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£84,655</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F0A7E" w14:textId="43A89C85"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£84,655</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736B" w14:textId="520076CA"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£84,655</w:t>
            </w:r>
          </w:p>
        </w:tc>
      </w:tr>
      <w:tr w:rsidR="006768AB" w:rsidRPr="006768AB" w14:paraId="7C8B9369" w14:textId="77777777" w:rsidTr="004877B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A5453" w14:textId="48B767F9" w:rsidR="006768AB" w:rsidRPr="006768AB" w:rsidRDefault="006768AB" w:rsidP="006768AB">
            <w:pPr>
              <w:suppressAutoHyphens/>
              <w:autoSpaceDN w:val="0"/>
              <w:jc w:val="both"/>
              <w:textAlignment w:val="baseline"/>
              <w:rPr>
                <w:rFonts w:cs="Arial"/>
                <w:b/>
                <w:bCs/>
                <w:szCs w:val="24"/>
                <w:lang w:eastAsia="en-GB"/>
              </w:rPr>
            </w:pPr>
            <w:r w:rsidRPr="006768AB">
              <w:rPr>
                <w:rFonts w:cs="Arial"/>
                <w:b/>
                <w:bCs/>
                <w:szCs w:val="24"/>
                <w:lang w:eastAsia="en-GB"/>
              </w:rPr>
              <w:t>Adults’ Services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E2AC" w14:textId="48C8DD10"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£15,000</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B754" w14:textId="07249DA1"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£15,000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2D900" w14:textId="3402F31F" w:rsidR="006768AB" w:rsidRPr="006768AB" w:rsidRDefault="006768AB" w:rsidP="006768AB">
            <w:pPr>
              <w:suppressAutoHyphens/>
              <w:autoSpaceDN w:val="0"/>
              <w:jc w:val="right"/>
              <w:textAlignment w:val="baseline"/>
              <w:rPr>
                <w:rFonts w:cs="Arial"/>
                <w:szCs w:val="24"/>
                <w:lang w:eastAsia="en-GB"/>
              </w:rPr>
            </w:pPr>
            <w:r w:rsidRPr="006768AB">
              <w:rPr>
                <w:rFonts w:cs="Arial"/>
                <w:szCs w:val="24"/>
                <w:lang w:eastAsia="en-GB"/>
              </w:rPr>
              <w:t>£15,000</w:t>
            </w:r>
          </w:p>
        </w:tc>
      </w:tr>
      <w:tr w:rsidR="006768AB" w:rsidRPr="006768AB" w14:paraId="25E94D85" w14:textId="77777777" w:rsidTr="004877B2">
        <w:tc>
          <w:tcPr>
            <w:tcW w:w="2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2F1D" w14:textId="672BD3DF" w:rsidR="006768AB" w:rsidRPr="006768AB" w:rsidRDefault="006768AB" w:rsidP="006768AB">
            <w:pPr>
              <w:suppressAutoHyphens/>
              <w:autoSpaceDN w:val="0"/>
              <w:jc w:val="both"/>
              <w:textAlignment w:val="baseline"/>
              <w:rPr>
                <w:rFonts w:cs="Arial"/>
                <w:b/>
                <w:bCs/>
                <w:szCs w:val="24"/>
                <w:highlight w:val="yellow"/>
                <w:lang w:eastAsia="en-GB"/>
              </w:rPr>
            </w:pPr>
            <w:r w:rsidRPr="006768AB">
              <w:rPr>
                <w:rFonts w:cs="Arial"/>
                <w:b/>
                <w:bCs/>
                <w:szCs w:val="24"/>
                <w:lang w:eastAsia="en-GB"/>
              </w:rPr>
              <w:t xml:space="preserve">Public Health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3363D" w14:textId="2496E119" w:rsidR="006768AB" w:rsidRPr="006768AB" w:rsidRDefault="006768AB" w:rsidP="006768AB">
            <w:pPr>
              <w:suppressAutoHyphens/>
              <w:autoSpaceDN w:val="0"/>
              <w:jc w:val="right"/>
              <w:textAlignment w:val="baseline"/>
              <w:rPr>
                <w:highlight w:val="yellow"/>
              </w:rPr>
            </w:pPr>
            <w:r w:rsidRPr="006768AB">
              <w:rPr>
                <w:szCs w:val="24"/>
                <w:lang w:eastAsia="en-GB"/>
              </w:rPr>
              <w:t>£50,000</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49FAB" w14:textId="62EE00D4" w:rsidR="006768AB" w:rsidRPr="006768AB" w:rsidRDefault="006768AB" w:rsidP="006768AB">
            <w:pPr>
              <w:suppressAutoHyphens/>
              <w:autoSpaceDN w:val="0"/>
              <w:jc w:val="right"/>
              <w:textAlignment w:val="baseline"/>
              <w:rPr>
                <w:highlight w:val="yellow"/>
              </w:rPr>
            </w:pPr>
            <w:r w:rsidRPr="006768AB">
              <w:rPr>
                <w:szCs w:val="24"/>
                <w:lang w:eastAsia="en-GB"/>
              </w:rPr>
              <w:t>£50,000</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E5756" w14:textId="00557F76" w:rsidR="006768AB" w:rsidRPr="006768AB" w:rsidRDefault="006768AB" w:rsidP="006768AB">
            <w:pPr>
              <w:suppressAutoHyphens/>
              <w:autoSpaceDN w:val="0"/>
              <w:jc w:val="right"/>
              <w:textAlignment w:val="baseline"/>
              <w:rPr>
                <w:highlight w:val="yellow"/>
              </w:rPr>
            </w:pPr>
            <w:r w:rsidRPr="006768AB">
              <w:rPr>
                <w:szCs w:val="24"/>
                <w:lang w:eastAsia="en-GB"/>
              </w:rPr>
              <w:t>£50,000</w:t>
            </w:r>
          </w:p>
        </w:tc>
      </w:tr>
      <w:tr w:rsidR="006768AB" w:rsidRPr="006768AB" w14:paraId="29778AF0" w14:textId="77777777" w:rsidTr="006768AB">
        <w:tc>
          <w:tcPr>
            <w:tcW w:w="2613"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024FA18A" w14:textId="4FD1E723" w:rsidR="006768AB" w:rsidRPr="006768AB" w:rsidRDefault="006768AB" w:rsidP="006768AB">
            <w:pPr>
              <w:suppressAutoHyphens/>
              <w:autoSpaceDN w:val="0"/>
              <w:jc w:val="both"/>
              <w:textAlignment w:val="baseline"/>
              <w:rPr>
                <w:rFonts w:cs="Arial"/>
                <w:b/>
                <w:bCs/>
                <w:szCs w:val="24"/>
                <w:highlight w:val="yellow"/>
                <w:lang w:eastAsia="en-GB"/>
              </w:rPr>
            </w:pPr>
            <w:r w:rsidRPr="006768AB">
              <w:rPr>
                <w:rFonts w:cs="Arial"/>
                <w:b/>
                <w:bCs/>
                <w:szCs w:val="24"/>
                <w:lang w:eastAsia="en-GB"/>
              </w:rPr>
              <w:t>Total Funding</w:t>
            </w:r>
          </w:p>
        </w:tc>
        <w:tc>
          <w:tcPr>
            <w:tcW w:w="1913"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43F4E3C7" w14:textId="1DD1C26C" w:rsidR="006768AB" w:rsidRPr="006768AB" w:rsidRDefault="006768AB" w:rsidP="006768AB">
            <w:pPr>
              <w:suppressAutoHyphens/>
              <w:autoSpaceDN w:val="0"/>
              <w:jc w:val="right"/>
              <w:textAlignment w:val="baseline"/>
              <w:rPr>
                <w:highlight w:val="yellow"/>
              </w:rPr>
            </w:pPr>
            <w:r w:rsidRPr="006768AB">
              <w:rPr>
                <w:b/>
                <w:bCs/>
                <w:szCs w:val="24"/>
                <w:lang w:eastAsia="en-GB"/>
              </w:rPr>
              <w:t>£341,655</w:t>
            </w:r>
          </w:p>
        </w:tc>
        <w:tc>
          <w:tcPr>
            <w:tcW w:w="1859"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24D32F6D" w14:textId="44F4C312" w:rsidR="006768AB" w:rsidRPr="006768AB" w:rsidRDefault="006768AB" w:rsidP="006768AB">
            <w:pPr>
              <w:suppressAutoHyphens/>
              <w:autoSpaceDN w:val="0"/>
              <w:jc w:val="right"/>
              <w:textAlignment w:val="baseline"/>
              <w:rPr>
                <w:highlight w:val="yellow"/>
              </w:rPr>
            </w:pPr>
            <w:r w:rsidRPr="006768AB">
              <w:rPr>
                <w:b/>
                <w:bCs/>
                <w:szCs w:val="24"/>
                <w:lang w:eastAsia="en-GB"/>
              </w:rPr>
              <w:t>£341,655</w:t>
            </w:r>
          </w:p>
        </w:tc>
        <w:tc>
          <w:tcPr>
            <w:tcW w:w="1914" w:type="dxa"/>
            <w:tcBorders>
              <w:top w:val="single" w:sz="4" w:space="0" w:color="000000"/>
              <w:left w:val="single" w:sz="4" w:space="0" w:color="000000"/>
              <w:bottom w:val="single" w:sz="4" w:space="0" w:color="000000"/>
              <w:right w:val="single" w:sz="4" w:space="0" w:color="000000"/>
            </w:tcBorders>
            <w:shd w:val="clear" w:color="auto" w:fill="FFD966"/>
            <w:tcMar>
              <w:top w:w="0" w:type="dxa"/>
              <w:left w:w="108" w:type="dxa"/>
              <w:bottom w:w="0" w:type="dxa"/>
              <w:right w:w="108" w:type="dxa"/>
            </w:tcMar>
          </w:tcPr>
          <w:p w14:paraId="54CF22D1" w14:textId="12967E75" w:rsidR="006768AB" w:rsidRPr="006768AB" w:rsidRDefault="006768AB" w:rsidP="006768AB">
            <w:pPr>
              <w:suppressAutoHyphens/>
              <w:autoSpaceDN w:val="0"/>
              <w:jc w:val="right"/>
              <w:textAlignment w:val="baseline"/>
              <w:rPr>
                <w:highlight w:val="yellow"/>
              </w:rPr>
            </w:pPr>
            <w:r w:rsidRPr="006768AB">
              <w:rPr>
                <w:b/>
                <w:bCs/>
                <w:szCs w:val="24"/>
                <w:lang w:eastAsia="en-GB"/>
              </w:rPr>
              <w:t>£341,655</w:t>
            </w:r>
          </w:p>
        </w:tc>
      </w:tr>
    </w:tbl>
    <w:p w14:paraId="39FD756F" w14:textId="77777777" w:rsidR="00443DB4" w:rsidRDefault="00443DB4" w:rsidP="006768AB">
      <w:pPr>
        <w:suppressAutoHyphens/>
        <w:autoSpaceDN w:val="0"/>
        <w:jc w:val="both"/>
        <w:textAlignment w:val="baseline"/>
        <w:rPr>
          <w:rFonts w:cs="Arial"/>
          <w:szCs w:val="24"/>
        </w:rPr>
      </w:pPr>
    </w:p>
    <w:p w14:paraId="78B6606E" w14:textId="77777777" w:rsidR="00B933D8" w:rsidRDefault="00860C27" w:rsidP="006768AB">
      <w:pPr>
        <w:suppressAutoHyphens/>
        <w:autoSpaceDN w:val="0"/>
        <w:jc w:val="both"/>
        <w:textAlignment w:val="baseline"/>
        <w:rPr>
          <w:rFonts w:cs="Arial"/>
          <w:szCs w:val="24"/>
        </w:rPr>
      </w:pPr>
      <w:r>
        <w:rPr>
          <w:rFonts w:cs="Arial"/>
          <w:szCs w:val="24"/>
        </w:rPr>
        <w:t xml:space="preserve">Funding </w:t>
      </w:r>
      <w:r w:rsidR="00AA08E5">
        <w:rPr>
          <w:rFonts w:cs="Arial"/>
          <w:szCs w:val="24"/>
        </w:rPr>
        <w:t xml:space="preserve">from Children’s and Adults’ </w:t>
      </w:r>
      <w:r w:rsidR="00122868">
        <w:rPr>
          <w:rFonts w:cs="Arial"/>
          <w:szCs w:val="24"/>
        </w:rPr>
        <w:t>Services</w:t>
      </w:r>
      <w:r w:rsidR="00FC2929">
        <w:rPr>
          <w:rFonts w:cs="Arial"/>
          <w:szCs w:val="24"/>
        </w:rPr>
        <w:t xml:space="preserve">, Public Health and Housing </w:t>
      </w:r>
      <w:r w:rsidR="009D047A">
        <w:rPr>
          <w:rFonts w:cs="Arial"/>
          <w:szCs w:val="24"/>
        </w:rPr>
        <w:t xml:space="preserve">has been </w:t>
      </w:r>
      <w:r w:rsidR="00D70320">
        <w:rPr>
          <w:rFonts w:cs="Arial"/>
          <w:szCs w:val="24"/>
        </w:rPr>
        <w:t>confirmed</w:t>
      </w:r>
      <w:r w:rsidR="003D0608">
        <w:rPr>
          <w:rFonts w:cs="Arial"/>
          <w:szCs w:val="24"/>
        </w:rPr>
        <w:t xml:space="preserve">. This totals £221,655 per annum and </w:t>
      </w:r>
      <w:r w:rsidR="00DF7AEE">
        <w:rPr>
          <w:rFonts w:cs="Arial"/>
          <w:szCs w:val="24"/>
        </w:rPr>
        <w:t>is for the duration of the contract.</w:t>
      </w:r>
    </w:p>
    <w:p w14:paraId="007745F8" w14:textId="77777777" w:rsidR="00B933D8" w:rsidRDefault="00B933D8" w:rsidP="006768AB">
      <w:pPr>
        <w:suppressAutoHyphens/>
        <w:autoSpaceDN w:val="0"/>
        <w:jc w:val="both"/>
        <w:textAlignment w:val="baseline"/>
        <w:rPr>
          <w:rFonts w:cs="Arial"/>
          <w:szCs w:val="24"/>
        </w:rPr>
      </w:pPr>
    </w:p>
    <w:p w14:paraId="051D5B8D" w14:textId="53C60C6B" w:rsidR="00860C27" w:rsidRPr="006768AB" w:rsidRDefault="00D033C0" w:rsidP="70A5ACE7">
      <w:pPr>
        <w:suppressAutoHyphens/>
        <w:autoSpaceDN w:val="0"/>
        <w:jc w:val="both"/>
        <w:textAlignment w:val="baseline"/>
        <w:rPr>
          <w:rFonts w:cs="Arial"/>
        </w:rPr>
      </w:pPr>
      <w:r w:rsidRPr="70A5ACE7">
        <w:rPr>
          <w:rFonts w:cs="Arial"/>
        </w:rPr>
        <w:t>*</w:t>
      </w:r>
      <w:r w:rsidR="00B933D8" w:rsidRPr="70A5ACE7">
        <w:rPr>
          <w:rFonts w:cs="Arial"/>
        </w:rPr>
        <w:t xml:space="preserve">The external funding from LCPF </w:t>
      </w:r>
      <w:r w:rsidR="00F56CDD" w:rsidRPr="70A5ACE7">
        <w:rPr>
          <w:rFonts w:cs="Arial"/>
        </w:rPr>
        <w:t>has only been confirmed for the first two years of the contract</w:t>
      </w:r>
      <w:r w:rsidR="00060BEA" w:rsidRPr="70A5ACE7">
        <w:rPr>
          <w:rFonts w:cs="Arial"/>
        </w:rPr>
        <w:t xml:space="preserve">. </w:t>
      </w:r>
      <w:r w:rsidR="00EC183E" w:rsidRPr="70A5ACE7">
        <w:rPr>
          <w:rFonts w:cs="Arial"/>
        </w:rPr>
        <w:t>Funding from LCPF for the third year of the contract</w:t>
      </w:r>
      <w:r w:rsidR="008D0C91" w:rsidRPr="70A5ACE7">
        <w:rPr>
          <w:rFonts w:cs="Arial"/>
        </w:rPr>
        <w:t xml:space="preserve"> (2025-26</w:t>
      </w:r>
      <w:r w:rsidR="00990216" w:rsidRPr="70A5ACE7">
        <w:rPr>
          <w:rFonts w:cs="Arial"/>
        </w:rPr>
        <w:t>)</w:t>
      </w:r>
      <w:r w:rsidR="00876DBC" w:rsidRPr="70A5ACE7">
        <w:rPr>
          <w:rFonts w:cs="Arial"/>
        </w:rPr>
        <w:t xml:space="preserve"> has not been confirmed </w:t>
      </w:r>
      <w:r w:rsidR="005A7706" w:rsidRPr="70A5ACE7">
        <w:rPr>
          <w:rFonts w:cs="Arial"/>
        </w:rPr>
        <w:t>and so has been included in the Risk Management Implications.</w:t>
      </w:r>
      <w:r w:rsidR="007F14AB" w:rsidRPr="70A5ACE7">
        <w:rPr>
          <w:rFonts w:cs="Arial"/>
        </w:rPr>
        <w:t xml:space="preserve"> If LCPF funding is not made available for 2025-26</w:t>
      </w:r>
      <w:r w:rsidR="00974E0E" w:rsidRPr="70A5ACE7">
        <w:rPr>
          <w:rFonts w:cs="Arial"/>
        </w:rPr>
        <w:t xml:space="preserve"> the service will be reduced by </w:t>
      </w:r>
      <w:r w:rsidR="00732DE6" w:rsidRPr="70A5ACE7">
        <w:rPr>
          <w:rFonts w:cs="Arial"/>
        </w:rPr>
        <w:t>a</w:t>
      </w:r>
      <w:r w:rsidR="00974E0E" w:rsidRPr="70A5ACE7">
        <w:rPr>
          <w:rFonts w:cs="Arial"/>
        </w:rPr>
        <w:t xml:space="preserve"> variation of the contract</w:t>
      </w:r>
      <w:r w:rsidR="000D7547" w:rsidRPr="70A5ACE7">
        <w:rPr>
          <w:rFonts w:cs="Arial"/>
        </w:rPr>
        <w:t>,</w:t>
      </w:r>
      <w:r w:rsidR="00974E0E" w:rsidRPr="70A5ACE7">
        <w:rPr>
          <w:rFonts w:cs="Arial"/>
        </w:rPr>
        <w:t xml:space="preserve"> so there is no additional pressure on Council resources.</w:t>
      </w:r>
    </w:p>
    <w:p w14:paraId="41D80CF8" w14:textId="081C59AF" w:rsidR="00333FAA" w:rsidRPr="00303FD6" w:rsidRDefault="00333FAA" w:rsidP="00A1211C">
      <w:pPr>
        <w:pStyle w:val="Heading3"/>
        <w:spacing w:before="480" w:after="240"/>
        <w:rPr>
          <w:color w:val="FF0000"/>
        </w:rPr>
      </w:pPr>
      <w:r w:rsidRPr="004A2543">
        <w:t>Equalities implications</w:t>
      </w:r>
      <w:r w:rsidR="001C7E35">
        <w:t xml:space="preserve"> </w:t>
      </w:r>
      <w:r w:rsidRPr="00333FAA">
        <w:t>/Public Sector Equality Duty</w:t>
      </w:r>
    </w:p>
    <w:p w14:paraId="1180FCE5" w14:textId="14CD6252" w:rsidR="0027170B" w:rsidRPr="0027170B" w:rsidRDefault="0027170B" w:rsidP="009F28B7">
      <w:pPr>
        <w:suppressAutoHyphens/>
        <w:autoSpaceDN w:val="0"/>
        <w:ind w:left="720" w:hanging="720"/>
        <w:textAlignment w:val="baseline"/>
        <w:rPr>
          <w:iCs/>
          <w:szCs w:val="24"/>
        </w:rPr>
      </w:pPr>
      <w:r>
        <w:rPr>
          <w:iCs/>
          <w:szCs w:val="24"/>
        </w:rPr>
        <w:t>11.1</w:t>
      </w:r>
      <w:r>
        <w:rPr>
          <w:iCs/>
          <w:szCs w:val="24"/>
        </w:rPr>
        <w:tab/>
      </w:r>
      <w:r w:rsidRPr="0027170B">
        <w:rPr>
          <w:iCs/>
          <w:szCs w:val="24"/>
        </w:rPr>
        <w:t>Section 149 of the Equality Act 2010 sets out the public sector equality duty to</w:t>
      </w:r>
      <w:r w:rsidR="009F28B7">
        <w:rPr>
          <w:iCs/>
          <w:szCs w:val="24"/>
        </w:rPr>
        <w:t xml:space="preserve"> </w:t>
      </w:r>
      <w:r w:rsidRPr="0027170B">
        <w:rPr>
          <w:iCs/>
          <w:szCs w:val="24"/>
        </w:rPr>
        <w:t>which the authority must have due regard. The Council’s public sector equality</w:t>
      </w:r>
      <w:r w:rsidR="009F28B7">
        <w:rPr>
          <w:iCs/>
          <w:szCs w:val="24"/>
        </w:rPr>
        <w:t xml:space="preserve"> </w:t>
      </w:r>
      <w:r w:rsidRPr="0027170B">
        <w:rPr>
          <w:iCs/>
          <w:szCs w:val="24"/>
        </w:rPr>
        <w:t>duty is set out in s149 of the Equality Act 2010</w:t>
      </w:r>
      <w:r w:rsidR="009F28B7">
        <w:rPr>
          <w:iCs/>
          <w:szCs w:val="24"/>
        </w:rPr>
        <w:t>.</w:t>
      </w:r>
    </w:p>
    <w:p w14:paraId="1C729278" w14:textId="77777777" w:rsidR="0027170B" w:rsidRPr="0027170B" w:rsidRDefault="0027170B" w:rsidP="0027170B">
      <w:pPr>
        <w:suppressAutoHyphens/>
        <w:autoSpaceDN w:val="0"/>
        <w:ind w:left="720" w:hanging="720"/>
        <w:textAlignment w:val="baseline"/>
        <w:rPr>
          <w:iCs/>
          <w:szCs w:val="24"/>
        </w:rPr>
      </w:pPr>
    </w:p>
    <w:p w14:paraId="7269BEB0" w14:textId="77777777" w:rsidR="0027170B" w:rsidRPr="0027170B" w:rsidRDefault="0027170B" w:rsidP="0027170B">
      <w:pPr>
        <w:suppressAutoHyphens/>
        <w:autoSpaceDN w:val="0"/>
        <w:ind w:left="720" w:hanging="720"/>
        <w:textAlignment w:val="baseline"/>
        <w:rPr>
          <w:iCs/>
          <w:szCs w:val="24"/>
        </w:rPr>
      </w:pPr>
      <w:r w:rsidRPr="0027170B">
        <w:rPr>
          <w:iCs/>
          <w:szCs w:val="24"/>
        </w:rPr>
        <w:t>11.2</w:t>
      </w:r>
      <w:r w:rsidRPr="0027170B">
        <w:rPr>
          <w:iCs/>
          <w:szCs w:val="24"/>
        </w:rPr>
        <w:tab/>
        <w:t>A public authority must, in the exercise of its functions, have due regard to the need to:</w:t>
      </w:r>
    </w:p>
    <w:p w14:paraId="5DC54F83" w14:textId="77777777" w:rsidR="0027170B" w:rsidRPr="0027170B" w:rsidRDefault="0027170B" w:rsidP="0027170B">
      <w:pPr>
        <w:suppressAutoHyphens/>
        <w:autoSpaceDN w:val="0"/>
        <w:ind w:left="720"/>
        <w:textAlignment w:val="baseline"/>
        <w:rPr>
          <w:iCs/>
          <w:szCs w:val="24"/>
        </w:rPr>
      </w:pPr>
      <w:r w:rsidRPr="0027170B">
        <w:rPr>
          <w:iCs/>
          <w:szCs w:val="24"/>
        </w:rPr>
        <w:t>a) Eliminate discrimination, harassment, victimisation and any other</w:t>
      </w:r>
    </w:p>
    <w:p w14:paraId="75882BE1" w14:textId="77777777" w:rsidR="0027170B" w:rsidRPr="0027170B" w:rsidRDefault="0027170B" w:rsidP="0027170B">
      <w:pPr>
        <w:suppressAutoHyphens/>
        <w:autoSpaceDN w:val="0"/>
        <w:ind w:left="720"/>
        <w:textAlignment w:val="baseline"/>
        <w:rPr>
          <w:iCs/>
          <w:szCs w:val="24"/>
        </w:rPr>
      </w:pPr>
      <w:r w:rsidRPr="0027170B">
        <w:rPr>
          <w:iCs/>
          <w:szCs w:val="24"/>
        </w:rPr>
        <w:t>conduct that is prohibited by or under this Act;</w:t>
      </w:r>
    </w:p>
    <w:p w14:paraId="04084809" w14:textId="77777777" w:rsidR="0027170B" w:rsidRPr="0027170B" w:rsidRDefault="0027170B" w:rsidP="0027170B">
      <w:pPr>
        <w:suppressAutoHyphens/>
        <w:autoSpaceDN w:val="0"/>
        <w:ind w:left="720"/>
        <w:textAlignment w:val="baseline"/>
        <w:rPr>
          <w:iCs/>
          <w:szCs w:val="24"/>
        </w:rPr>
      </w:pPr>
      <w:r w:rsidRPr="0027170B">
        <w:rPr>
          <w:iCs/>
          <w:szCs w:val="24"/>
        </w:rPr>
        <w:t>b) Advance equality of opportunity between persons who share a</w:t>
      </w:r>
    </w:p>
    <w:p w14:paraId="4CC026F5" w14:textId="77777777" w:rsidR="0027170B" w:rsidRPr="0027170B" w:rsidRDefault="0027170B" w:rsidP="0027170B">
      <w:pPr>
        <w:suppressAutoHyphens/>
        <w:autoSpaceDN w:val="0"/>
        <w:ind w:left="720"/>
        <w:textAlignment w:val="baseline"/>
        <w:rPr>
          <w:iCs/>
          <w:szCs w:val="24"/>
        </w:rPr>
      </w:pPr>
      <w:r w:rsidRPr="0027170B">
        <w:rPr>
          <w:iCs/>
          <w:szCs w:val="24"/>
        </w:rPr>
        <w:lastRenderedPageBreak/>
        <w:t>relevant protected characteristic and persons who do not share it;</w:t>
      </w:r>
    </w:p>
    <w:p w14:paraId="02A36CDC" w14:textId="77777777" w:rsidR="0027170B" w:rsidRPr="0027170B" w:rsidRDefault="0027170B" w:rsidP="0027170B">
      <w:pPr>
        <w:suppressAutoHyphens/>
        <w:autoSpaceDN w:val="0"/>
        <w:ind w:left="720"/>
        <w:textAlignment w:val="baseline"/>
        <w:rPr>
          <w:iCs/>
          <w:szCs w:val="24"/>
        </w:rPr>
      </w:pPr>
      <w:r w:rsidRPr="0027170B">
        <w:rPr>
          <w:iCs/>
          <w:szCs w:val="24"/>
        </w:rPr>
        <w:t>c) Foster good relations between persons who share a relevant</w:t>
      </w:r>
    </w:p>
    <w:p w14:paraId="5293DDF5" w14:textId="77777777" w:rsidR="0027170B" w:rsidRPr="0027170B" w:rsidRDefault="0027170B" w:rsidP="0027170B">
      <w:pPr>
        <w:suppressAutoHyphens/>
        <w:autoSpaceDN w:val="0"/>
        <w:ind w:left="720"/>
        <w:textAlignment w:val="baseline"/>
        <w:rPr>
          <w:iCs/>
          <w:szCs w:val="24"/>
        </w:rPr>
      </w:pPr>
      <w:r w:rsidRPr="0027170B">
        <w:rPr>
          <w:iCs/>
          <w:szCs w:val="24"/>
        </w:rPr>
        <w:t>protected characteristic and persons who do not share it</w:t>
      </w:r>
    </w:p>
    <w:p w14:paraId="0DB6D607" w14:textId="77777777" w:rsidR="0027170B" w:rsidRPr="0027170B" w:rsidRDefault="0027170B" w:rsidP="0027170B">
      <w:pPr>
        <w:suppressAutoHyphens/>
        <w:autoSpaceDN w:val="0"/>
        <w:ind w:left="720" w:hanging="720"/>
        <w:textAlignment w:val="baseline"/>
        <w:rPr>
          <w:iCs/>
          <w:szCs w:val="24"/>
        </w:rPr>
      </w:pPr>
    </w:p>
    <w:p w14:paraId="3A3D82BD" w14:textId="77777777" w:rsidR="0027170B" w:rsidRPr="0027170B" w:rsidRDefault="0027170B" w:rsidP="0027170B">
      <w:pPr>
        <w:suppressAutoHyphens/>
        <w:autoSpaceDN w:val="0"/>
        <w:ind w:left="720" w:hanging="720"/>
        <w:textAlignment w:val="baseline"/>
        <w:rPr>
          <w:iCs/>
          <w:szCs w:val="24"/>
        </w:rPr>
      </w:pPr>
      <w:r w:rsidRPr="0027170B">
        <w:rPr>
          <w:iCs/>
          <w:szCs w:val="24"/>
        </w:rPr>
        <w:t>11.3</w:t>
      </w:r>
      <w:r w:rsidRPr="0027170B">
        <w:rPr>
          <w:iCs/>
          <w:szCs w:val="24"/>
        </w:rPr>
        <w:tab/>
        <w:t>The relevant protected characteristics are age; disability; gender</w:t>
      </w:r>
    </w:p>
    <w:p w14:paraId="38353EEA" w14:textId="59574983" w:rsidR="0027170B" w:rsidRPr="0027170B" w:rsidRDefault="0027170B" w:rsidP="0027170B">
      <w:pPr>
        <w:suppressAutoHyphens/>
        <w:autoSpaceDN w:val="0"/>
        <w:ind w:left="720"/>
        <w:textAlignment w:val="baseline"/>
        <w:rPr>
          <w:iCs/>
          <w:szCs w:val="24"/>
        </w:rPr>
      </w:pPr>
      <w:r w:rsidRPr="0027170B">
        <w:rPr>
          <w:iCs/>
          <w:szCs w:val="24"/>
        </w:rPr>
        <w:t>reassignment; pregnancy and maternity; race; religion or belief; sex and</w:t>
      </w:r>
      <w:r w:rsidR="009F28B7">
        <w:rPr>
          <w:iCs/>
          <w:szCs w:val="24"/>
        </w:rPr>
        <w:t xml:space="preserve"> </w:t>
      </w:r>
      <w:r w:rsidRPr="0027170B">
        <w:rPr>
          <w:iCs/>
          <w:szCs w:val="24"/>
        </w:rPr>
        <w:t>sexual orientation. The proposed service must be open to all residents and the Council will have due regard to those with protected characteristics. Equalities monitoring is incorporated as part of the contract monitoring process to help identify the profile of service users accessing the service to ensure that the service is able to meet their needs and the Council is able to fulfil its equality duty.</w:t>
      </w:r>
    </w:p>
    <w:p w14:paraId="6DBB5678" w14:textId="77777777" w:rsidR="0027170B" w:rsidRPr="0027170B" w:rsidRDefault="0027170B" w:rsidP="0027170B">
      <w:pPr>
        <w:suppressAutoHyphens/>
        <w:autoSpaceDN w:val="0"/>
        <w:textAlignment w:val="baseline"/>
        <w:rPr>
          <w:iCs/>
          <w:szCs w:val="24"/>
        </w:rPr>
      </w:pPr>
    </w:p>
    <w:p w14:paraId="46F13407" w14:textId="43F39DF6" w:rsidR="0027170B" w:rsidRPr="0027170B" w:rsidRDefault="0027170B" w:rsidP="0027170B">
      <w:pPr>
        <w:suppressAutoHyphens/>
        <w:autoSpaceDN w:val="0"/>
        <w:ind w:left="720" w:hanging="720"/>
        <w:textAlignment w:val="baseline"/>
      </w:pPr>
      <w:r w:rsidRPr="0027170B">
        <w:rPr>
          <w:szCs w:val="24"/>
        </w:rPr>
        <w:t>11.4</w:t>
      </w:r>
      <w:r w:rsidRPr="0027170B">
        <w:rPr>
          <w:szCs w:val="24"/>
        </w:rPr>
        <w:tab/>
        <w:t xml:space="preserve">As part of the re-commissioning process, a </w:t>
      </w:r>
      <w:r w:rsidRPr="0027170B">
        <w:rPr>
          <w:iCs/>
          <w:szCs w:val="24"/>
        </w:rPr>
        <w:t xml:space="preserve">full EqIA </w:t>
      </w:r>
      <w:r w:rsidR="0040411B">
        <w:rPr>
          <w:iCs/>
          <w:szCs w:val="24"/>
        </w:rPr>
        <w:t>has been</w:t>
      </w:r>
      <w:r w:rsidRPr="0027170B">
        <w:rPr>
          <w:iCs/>
          <w:szCs w:val="24"/>
        </w:rPr>
        <w:t xml:space="preserve"> undertaken to identify and address any disproportionality. </w:t>
      </w:r>
    </w:p>
    <w:p w14:paraId="5514D939" w14:textId="77777777" w:rsidR="00333FAA" w:rsidRDefault="00333FAA" w:rsidP="000B7C66">
      <w:pPr>
        <w:pStyle w:val="Heading2"/>
        <w:spacing w:before="480" w:after="240"/>
      </w:pPr>
      <w:r>
        <w:t>Section 3 - Statutory Officer Clearance</w:t>
      </w:r>
    </w:p>
    <w:p w14:paraId="3B5D52F9" w14:textId="483A7AEE" w:rsidR="00A66326" w:rsidRPr="00A66326" w:rsidRDefault="00A66326" w:rsidP="00A66326">
      <w:pPr>
        <w:rPr>
          <w:sz w:val="28"/>
        </w:rPr>
      </w:pPr>
      <w:r w:rsidRPr="00A66326">
        <w:rPr>
          <w:b/>
          <w:sz w:val="28"/>
        </w:rPr>
        <w:t xml:space="preserve">Statutory Officer: </w:t>
      </w:r>
      <w:r w:rsidR="00016355">
        <w:rPr>
          <w:b/>
          <w:sz w:val="28"/>
        </w:rPr>
        <w:t>S</w:t>
      </w:r>
      <w:r w:rsidR="00803387">
        <w:rPr>
          <w:b/>
          <w:sz w:val="28"/>
        </w:rPr>
        <w:t>haron Daniels</w:t>
      </w:r>
      <w:r w:rsidRPr="00A66326">
        <w:rPr>
          <w:b/>
          <w:sz w:val="28"/>
        </w:rPr>
        <w:t xml:space="preserve"> </w:t>
      </w:r>
    </w:p>
    <w:p w14:paraId="20A5EE1D" w14:textId="77777777" w:rsidR="003C11A3" w:rsidRDefault="00A66326" w:rsidP="003C11A3">
      <w:r w:rsidRPr="00A66326">
        <w:t>Signed on behalf of the Chief Financial Officer</w:t>
      </w:r>
      <w:r w:rsidR="00CC3EA0">
        <w:t xml:space="preserve"> </w:t>
      </w:r>
    </w:p>
    <w:p w14:paraId="555021EF" w14:textId="3B394F59" w:rsidR="00A66326" w:rsidRPr="00A66326" w:rsidRDefault="00A66326" w:rsidP="00A66326">
      <w:pPr>
        <w:spacing w:after="480"/>
        <w:rPr>
          <w:sz w:val="28"/>
        </w:rPr>
      </w:pPr>
      <w:r w:rsidRPr="00A66326">
        <w:rPr>
          <w:b/>
          <w:sz w:val="28"/>
        </w:rPr>
        <w:t xml:space="preserve">Date:  </w:t>
      </w:r>
      <w:r w:rsidR="00021009" w:rsidRPr="00021009">
        <w:rPr>
          <w:szCs w:val="24"/>
        </w:rPr>
        <w:t>01 September 2022</w:t>
      </w:r>
    </w:p>
    <w:p w14:paraId="7E329E85" w14:textId="5A58901E" w:rsidR="00A66326" w:rsidRPr="00A66326" w:rsidRDefault="00A66326" w:rsidP="00A66326">
      <w:pPr>
        <w:rPr>
          <w:sz w:val="28"/>
        </w:rPr>
      </w:pPr>
      <w:r w:rsidRPr="00A66326">
        <w:rPr>
          <w:b/>
          <w:sz w:val="28"/>
        </w:rPr>
        <w:t xml:space="preserve">Statutory Officer: </w:t>
      </w:r>
      <w:r w:rsidR="00E041CA">
        <w:rPr>
          <w:b/>
          <w:sz w:val="28"/>
        </w:rPr>
        <w:t>Hugh Peart</w:t>
      </w:r>
      <w:r w:rsidRPr="00A66326">
        <w:rPr>
          <w:b/>
          <w:sz w:val="28"/>
        </w:rPr>
        <w:t xml:space="preserve"> </w:t>
      </w:r>
    </w:p>
    <w:p w14:paraId="69644D7E" w14:textId="77777777" w:rsidR="003C11A3" w:rsidRDefault="00A66326" w:rsidP="003C11A3">
      <w:r w:rsidRPr="00A66326">
        <w:t xml:space="preserve">Signed by the </w:t>
      </w:r>
      <w:r w:rsidR="009B5C7A">
        <w:t>Director of Legal &amp; Governance</w:t>
      </w:r>
      <w:r w:rsidR="00EB4CAE">
        <w:t xml:space="preserve"> </w:t>
      </w:r>
    </w:p>
    <w:p w14:paraId="1AC0D358" w14:textId="41AEC910" w:rsidR="00A66326" w:rsidRPr="003313EA" w:rsidRDefault="00A66326" w:rsidP="00A66326">
      <w:pPr>
        <w:spacing w:after="480"/>
        <w:rPr>
          <w:sz w:val="28"/>
        </w:rPr>
      </w:pPr>
      <w:r w:rsidRPr="00A66326">
        <w:rPr>
          <w:b/>
          <w:sz w:val="28"/>
        </w:rPr>
        <w:t xml:space="preserve">Date:  </w:t>
      </w:r>
      <w:r w:rsidR="00021009" w:rsidRPr="00021009">
        <w:rPr>
          <w:szCs w:val="24"/>
        </w:rPr>
        <w:t>01 September 2022</w:t>
      </w:r>
    </w:p>
    <w:p w14:paraId="31D8FA55" w14:textId="02562A76" w:rsidR="00BF5AFA" w:rsidRPr="00A66326" w:rsidRDefault="00BF5AFA" w:rsidP="00BF5AFA">
      <w:pPr>
        <w:rPr>
          <w:sz w:val="28"/>
        </w:rPr>
      </w:pPr>
      <w:r>
        <w:rPr>
          <w:b/>
          <w:sz w:val="28"/>
        </w:rPr>
        <w:t>Chief</w:t>
      </w:r>
      <w:r w:rsidRPr="00A66326">
        <w:rPr>
          <w:b/>
          <w:sz w:val="28"/>
        </w:rPr>
        <w:t xml:space="preserve"> Officer: </w:t>
      </w:r>
      <w:r w:rsidR="00AD6061">
        <w:rPr>
          <w:b/>
          <w:sz w:val="28"/>
        </w:rPr>
        <w:t>Alex Dewsnap</w:t>
      </w:r>
      <w:r w:rsidRPr="00A66326">
        <w:rPr>
          <w:b/>
          <w:sz w:val="28"/>
        </w:rPr>
        <w:t xml:space="preserve"> </w:t>
      </w:r>
    </w:p>
    <w:p w14:paraId="6C086558" w14:textId="5DDA50EA" w:rsidR="00BF5AFA" w:rsidRPr="00A66326" w:rsidRDefault="00BF5AFA" w:rsidP="00BF5AFA">
      <w:r w:rsidRPr="00A66326">
        <w:t xml:space="preserve">Signed </w:t>
      </w:r>
      <w:r>
        <w:t>by the Corporate Director</w:t>
      </w:r>
    </w:p>
    <w:p w14:paraId="5F67CDF0" w14:textId="56D53717" w:rsidR="00BF5AFA" w:rsidRPr="00A66326" w:rsidRDefault="00BF5AFA" w:rsidP="00BF5AFA">
      <w:pPr>
        <w:spacing w:after="480"/>
        <w:rPr>
          <w:sz w:val="28"/>
        </w:rPr>
      </w:pPr>
      <w:r w:rsidRPr="00A66326">
        <w:rPr>
          <w:b/>
          <w:sz w:val="28"/>
        </w:rPr>
        <w:t xml:space="preserve">Date:  </w:t>
      </w:r>
      <w:r w:rsidR="006A477A" w:rsidRPr="006A477A">
        <w:rPr>
          <w:szCs w:val="24"/>
        </w:rPr>
        <w:t>01 September 2022</w:t>
      </w:r>
    </w:p>
    <w:p w14:paraId="2C546334" w14:textId="2F38A142" w:rsidR="00BF5AFA" w:rsidRPr="00A66326" w:rsidRDefault="00BF5AFA" w:rsidP="00BF5AFA">
      <w:pPr>
        <w:rPr>
          <w:sz w:val="28"/>
        </w:rPr>
      </w:pPr>
      <w:r>
        <w:rPr>
          <w:b/>
          <w:sz w:val="28"/>
        </w:rPr>
        <w:t>Head of Procurement</w:t>
      </w:r>
      <w:r w:rsidRPr="00A66326">
        <w:rPr>
          <w:b/>
          <w:sz w:val="28"/>
        </w:rPr>
        <w:t xml:space="preserve">: </w:t>
      </w:r>
      <w:r w:rsidR="00606EBA">
        <w:rPr>
          <w:b/>
          <w:sz w:val="28"/>
        </w:rPr>
        <w:t>Nimesh Mehta</w:t>
      </w:r>
      <w:r w:rsidRPr="00A66326">
        <w:rPr>
          <w:b/>
          <w:sz w:val="28"/>
        </w:rPr>
        <w:t xml:space="preserve"> </w:t>
      </w:r>
    </w:p>
    <w:p w14:paraId="3C6E94C3" w14:textId="1DF7F355" w:rsidR="00BF5AFA" w:rsidRPr="00A66326" w:rsidRDefault="00BF5AFA" w:rsidP="00BF5AFA">
      <w:r>
        <w:t>Signed by the Head of Procurement</w:t>
      </w:r>
      <w:r w:rsidR="00CC3EA0">
        <w:t xml:space="preserve"> </w:t>
      </w:r>
    </w:p>
    <w:p w14:paraId="5A683B65" w14:textId="22339969" w:rsidR="00BF5AFA" w:rsidRPr="003313EA" w:rsidRDefault="00BF5AFA" w:rsidP="4DC0819E">
      <w:pPr>
        <w:spacing w:after="480"/>
        <w:rPr>
          <w:sz w:val="28"/>
          <w:szCs w:val="28"/>
        </w:rPr>
      </w:pPr>
      <w:r w:rsidRPr="4DC0819E">
        <w:rPr>
          <w:b/>
          <w:bCs/>
          <w:sz w:val="28"/>
          <w:szCs w:val="28"/>
        </w:rPr>
        <w:t xml:space="preserve">Date:  </w:t>
      </w:r>
      <w:r w:rsidR="6670DE9E" w:rsidRPr="00021009">
        <w:rPr>
          <w:szCs w:val="24"/>
        </w:rPr>
        <w:t>01 September 2022</w:t>
      </w:r>
    </w:p>
    <w:p w14:paraId="113297A5" w14:textId="38C91F4F" w:rsidR="00BF5AFA" w:rsidRPr="00A66326" w:rsidRDefault="00BF5AFA" w:rsidP="00BF5AFA">
      <w:pPr>
        <w:rPr>
          <w:sz w:val="28"/>
        </w:rPr>
      </w:pPr>
      <w:r>
        <w:rPr>
          <w:b/>
          <w:sz w:val="28"/>
        </w:rPr>
        <w:t>Head of Internal Audit</w:t>
      </w:r>
      <w:r w:rsidRPr="00A66326">
        <w:rPr>
          <w:b/>
          <w:sz w:val="28"/>
        </w:rPr>
        <w:t xml:space="preserve">: </w:t>
      </w:r>
      <w:r w:rsidR="00166296">
        <w:rPr>
          <w:b/>
          <w:sz w:val="28"/>
        </w:rPr>
        <w:t>Susan Dixson</w:t>
      </w:r>
      <w:r w:rsidRPr="00A66326">
        <w:rPr>
          <w:b/>
          <w:sz w:val="28"/>
        </w:rPr>
        <w:t xml:space="preserve"> </w:t>
      </w:r>
    </w:p>
    <w:p w14:paraId="5CF04A24" w14:textId="57FFC8A3" w:rsidR="00BF5AFA" w:rsidRPr="00A66326" w:rsidRDefault="006D65F7" w:rsidP="00BF5AFA">
      <w:r w:rsidRPr="006D65F7">
        <w:t>Signed by the Head of Internal Audit</w:t>
      </w:r>
      <w:r w:rsidR="005F3063">
        <w:t>.</w:t>
      </w:r>
      <w:r w:rsidR="00162745">
        <w:t xml:space="preserve"> </w:t>
      </w:r>
    </w:p>
    <w:p w14:paraId="065BF29C" w14:textId="3A4E2BC6" w:rsidR="00BF5AFA" w:rsidRPr="001F7730" w:rsidRDefault="00BF5AFA" w:rsidP="00BF5AFA">
      <w:pPr>
        <w:pStyle w:val="Heading2"/>
        <w:spacing w:after="240"/>
        <w:rPr>
          <w:rFonts w:ascii="Arial" w:hAnsi="Arial"/>
          <w:b w:val="0"/>
          <w:bCs w:val="0"/>
          <w:sz w:val="24"/>
          <w:szCs w:val="24"/>
        </w:rPr>
      </w:pPr>
      <w:r w:rsidRPr="00A66326">
        <w:rPr>
          <w:sz w:val="28"/>
        </w:rPr>
        <w:t>Date:</w:t>
      </w:r>
      <w:r w:rsidR="001F7730">
        <w:rPr>
          <w:sz w:val="28"/>
        </w:rPr>
        <w:t xml:space="preserve"> </w:t>
      </w:r>
      <w:r w:rsidR="001F7730">
        <w:rPr>
          <w:rFonts w:ascii="Arial" w:hAnsi="Arial"/>
          <w:b w:val="0"/>
          <w:bCs w:val="0"/>
          <w:sz w:val="24"/>
          <w:szCs w:val="24"/>
        </w:rPr>
        <w:t>31 August 2022</w:t>
      </w:r>
    </w:p>
    <w:p w14:paraId="45A19EC7" w14:textId="59434FDF" w:rsidR="003313EA" w:rsidRPr="00435B5D" w:rsidRDefault="003313EA" w:rsidP="00BF5AFA">
      <w:pPr>
        <w:pStyle w:val="Heading2"/>
        <w:spacing w:before="480" w:after="240"/>
      </w:pPr>
      <w:r>
        <w:t>Mandatory Checks</w:t>
      </w:r>
    </w:p>
    <w:p w14:paraId="64551188" w14:textId="1A44BE04" w:rsidR="003313EA" w:rsidRPr="00A406F3" w:rsidRDefault="003313EA" w:rsidP="003313EA">
      <w:pPr>
        <w:pStyle w:val="Heading3"/>
        <w:ind w:left="0" w:firstLine="0"/>
        <w:jc w:val="left"/>
      </w:pPr>
      <w:r w:rsidRPr="003313EA">
        <w:t xml:space="preserve">Ward Councillors </w:t>
      </w:r>
      <w:r>
        <w:t xml:space="preserve">notified:  </w:t>
      </w:r>
      <w:r w:rsidRPr="00496CD2">
        <w:rPr>
          <w:b w:val="0"/>
          <w:bCs w:val="0"/>
        </w:rPr>
        <w:t>NO, as it impacts on all Wards</w:t>
      </w:r>
      <w:r w:rsidRPr="00A406F3">
        <w:t xml:space="preserve"> </w:t>
      </w:r>
    </w:p>
    <w:p w14:paraId="2A2D9472" w14:textId="0135AF81" w:rsidR="003313EA" w:rsidRPr="00202D79" w:rsidRDefault="003313EA" w:rsidP="003313EA">
      <w:pPr>
        <w:pStyle w:val="Heading3"/>
        <w:spacing w:before="240"/>
        <w:rPr>
          <w:b w:val="0"/>
        </w:rPr>
      </w:pPr>
      <w:r w:rsidRPr="00202D79">
        <w:t>EqIA carried out:</w:t>
      </w:r>
      <w:r>
        <w:t xml:space="preserve">  </w:t>
      </w:r>
      <w:r w:rsidRPr="00A827A9">
        <w:rPr>
          <w:b w:val="0"/>
          <w:bCs w:val="0"/>
        </w:rPr>
        <w:t>YES</w:t>
      </w:r>
    </w:p>
    <w:p w14:paraId="6B589F3A" w14:textId="058AB5F1" w:rsidR="003313EA" w:rsidRPr="00303FD6" w:rsidRDefault="003313EA" w:rsidP="00842757">
      <w:pPr>
        <w:pStyle w:val="Heading3"/>
        <w:spacing w:before="240"/>
        <w:jc w:val="left"/>
        <w:rPr>
          <w:color w:val="FF0000"/>
        </w:rPr>
      </w:pPr>
      <w:r w:rsidRPr="00202D79">
        <w:lastRenderedPageBreak/>
        <w:t>EqIA cleared by:</w:t>
      </w:r>
      <w:r>
        <w:t xml:space="preserve"> </w:t>
      </w:r>
      <w:r w:rsidR="003E3F7E" w:rsidRPr="004E7B32">
        <w:rPr>
          <w:b w:val="0"/>
          <w:bCs w:val="0"/>
        </w:rPr>
        <w:t>Shumaila</w:t>
      </w:r>
      <w:r w:rsidR="005F1F43" w:rsidRPr="004E7B32">
        <w:rPr>
          <w:b w:val="0"/>
          <w:bCs w:val="0"/>
        </w:rPr>
        <w:t xml:space="preserve"> Dar</w:t>
      </w:r>
      <w:r w:rsidR="00F247EC" w:rsidRPr="004E7B32">
        <w:rPr>
          <w:b w:val="0"/>
          <w:bCs w:val="0"/>
        </w:rPr>
        <w:t>, Head of Equality, Diversity &amp; Inclusion</w:t>
      </w:r>
      <w:r w:rsidR="00F247EC">
        <w:t xml:space="preserve"> </w:t>
      </w:r>
      <w:r>
        <w:t xml:space="preserve"> </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0AC0F8CC" w:rsidR="00333FAA" w:rsidRPr="005808FB" w:rsidRDefault="00333FAA" w:rsidP="00CC18AC">
      <w:pPr>
        <w:pStyle w:val="Infotext"/>
        <w:spacing w:after="240"/>
        <w:rPr>
          <w:color w:val="FF0000"/>
        </w:rPr>
      </w:pPr>
      <w:r w:rsidRPr="004E47FC">
        <w:rPr>
          <w:b/>
        </w:rPr>
        <w:t xml:space="preserve">Contact:  </w:t>
      </w:r>
      <w:r w:rsidR="00A645EB">
        <w:t>Glenn Palmer</w:t>
      </w:r>
      <w:r w:rsidR="005808FB" w:rsidRPr="00A645EB">
        <w:t xml:space="preserve">, </w:t>
      </w:r>
      <w:r w:rsidR="00A645EB">
        <w:t>Policy Officer</w:t>
      </w:r>
      <w:r w:rsidR="005808FB" w:rsidRPr="00A645EB">
        <w:t xml:space="preserve">, </w:t>
      </w:r>
      <w:r w:rsidR="00391F58">
        <w:t xml:space="preserve">07926 072880, </w:t>
      </w:r>
      <w:hyperlink r:id="rId16" w:history="1">
        <w:r w:rsidR="0084607B" w:rsidRPr="3ED7DB2A">
          <w:rPr>
            <w:rStyle w:val="Hyperlink"/>
          </w:rPr>
          <w:t>Glenn.Palmer@harrow.gov.uk</w:t>
        </w:r>
      </w:hyperlink>
      <w:r w:rsidR="526EFDEA">
        <w:t xml:space="preserve"> </w:t>
      </w:r>
    </w:p>
    <w:p w14:paraId="77C58D4B" w14:textId="6C3B4280" w:rsidR="00333FAA" w:rsidRDefault="00333FAA" w:rsidP="00CC18AC">
      <w:pPr>
        <w:pStyle w:val="Infotext"/>
        <w:spacing w:after="240"/>
        <w:rPr>
          <w:b/>
        </w:rPr>
      </w:pPr>
      <w:r w:rsidRPr="004E47FC">
        <w:rPr>
          <w:b/>
        </w:rPr>
        <w:t>Background Papers:</w:t>
      </w:r>
      <w:r w:rsidR="005808FB">
        <w:rPr>
          <w:b/>
        </w:rPr>
        <w:t xml:space="preserve"> </w:t>
      </w:r>
      <w:r w:rsidR="001F5658">
        <w:t>No</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1AD2F1F8" w:rsidR="00842757" w:rsidRDefault="00842757" w:rsidP="00842757">
      <w:pPr>
        <w:pStyle w:val="Infotext"/>
        <w:spacing w:before="240"/>
      </w:pPr>
      <w:r w:rsidRPr="003D78F6">
        <w:rPr>
          <w:b/>
        </w:rPr>
        <w:t xml:space="preserve">NO </w:t>
      </w:r>
    </w:p>
    <w:sectPr w:rsidR="00842757" w:rsidSect="001614E0">
      <w:headerReference w:type="default" r:id="rId17"/>
      <w:headerReference w:type="first" r:id="rId18"/>
      <w:footerReference w:type="first" r:id="rId19"/>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B554" w14:textId="77777777" w:rsidR="001F0B90" w:rsidRDefault="001F0B90">
      <w:r>
        <w:separator/>
      </w:r>
    </w:p>
  </w:endnote>
  <w:endnote w:type="continuationSeparator" w:id="0">
    <w:p w14:paraId="67D3C866" w14:textId="77777777" w:rsidR="001F0B90" w:rsidRDefault="001F0B90">
      <w:r>
        <w:continuationSeparator/>
      </w:r>
    </w:p>
  </w:endnote>
  <w:endnote w:type="continuationNotice" w:id="1">
    <w:p w14:paraId="3A019DC0" w14:textId="77777777" w:rsidR="001F0B90" w:rsidRDefault="001F0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D206F" w:rsidRPr="004F56C5" w:rsidRDefault="009D206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6DF2" w14:textId="77777777" w:rsidR="001F0B90" w:rsidRDefault="001F0B90">
      <w:r>
        <w:separator/>
      </w:r>
    </w:p>
  </w:footnote>
  <w:footnote w:type="continuationSeparator" w:id="0">
    <w:p w14:paraId="6169D8BC" w14:textId="77777777" w:rsidR="001F0B90" w:rsidRDefault="001F0B90">
      <w:r>
        <w:continuationSeparator/>
      </w:r>
    </w:p>
  </w:footnote>
  <w:footnote w:type="continuationNotice" w:id="1">
    <w:p w14:paraId="5D7A7C51" w14:textId="77777777" w:rsidR="001F0B90" w:rsidRDefault="001F0B90"/>
  </w:footnote>
  <w:footnote w:id="2">
    <w:p w14:paraId="675BD95B" w14:textId="77777777" w:rsidR="009D206F" w:rsidRPr="00CE055F" w:rsidRDefault="009D206F" w:rsidP="00C55A46">
      <w:pPr>
        <w:pStyle w:val="FootnoteText"/>
        <w:jc w:val="both"/>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A MARAC is a meeting where information is shared on the highest risk domestic abuse cases between representatives of local police, health, child protection, housing practitioners, Independent Domestic Violence Advisors (IDVAs), probation and other specialists from the statutory and voluntary sectors.</w:t>
      </w:r>
    </w:p>
  </w:footnote>
  <w:footnote w:id="3">
    <w:p w14:paraId="0711E371" w14:textId="67739DA6" w:rsidR="009D206F" w:rsidRPr="00B87036" w:rsidRDefault="009D206F">
      <w:pPr>
        <w:pStyle w:val="FootnoteText"/>
        <w:rPr>
          <w:rFonts w:ascii="Arial" w:hAnsi="Arial" w:cs="Arial"/>
          <w:sz w:val="18"/>
          <w:szCs w:val="18"/>
        </w:rPr>
      </w:pPr>
      <w:r w:rsidRPr="00366109">
        <w:rPr>
          <w:rStyle w:val="FootnoteReference"/>
          <w:rFonts w:ascii="Arial" w:hAnsi="Arial" w:cs="Arial"/>
          <w:sz w:val="18"/>
          <w:szCs w:val="18"/>
        </w:rPr>
        <w:footnoteRef/>
      </w:r>
      <w:r w:rsidRPr="00906349">
        <w:rPr>
          <w:rFonts w:ascii="Arial" w:hAnsi="Arial" w:cs="Arial"/>
          <w:sz w:val="18"/>
          <w:szCs w:val="18"/>
        </w:rPr>
        <w:t xml:space="preserve"> </w:t>
      </w:r>
      <w:hyperlink r:id="rId1" w:history="1">
        <w:r w:rsidRPr="00B87036">
          <w:rPr>
            <w:rStyle w:val="Hyperlink"/>
            <w:rFonts w:ascii="Arial" w:hAnsi="Arial" w:cs="Arial"/>
            <w:sz w:val="18"/>
            <w:szCs w:val="18"/>
          </w:rPr>
          <w:t>http://driveproject.org.uk/wp-content/uploads/2020/01/Drive-Evaluation-Report-Final.pdf</w:t>
        </w:r>
      </w:hyperlink>
    </w:p>
  </w:footnote>
  <w:footnote w:id="4">
    <w:p w14:paraId="2E8FD4AF" w14:textId="496C25FF" w:rsidR="009D206F" w:rsidRDefault="009D206F">
      <w:pPr>
        <w:pStyle w:val="FootnoteText"/>
      </w:pPr>
      <w:r>
        <w:rPr>
          <w:rStyle w:val="FootnoteReference"/>
        </w:rPr>
        <w:footnoteRef/>
      </w:r>
      <w:r>
        <w:t xml:space="preserve"> </w:t>
      </w:r>
      <w:hyperlink r:id="rId2" w:history="1">
        <w:r w:rsidRPr="00B87036">
          <w:rPr>
            <w:rStyle w:val="Hyperlink"/>
            <w:rFonts w:ascii="Arial" w:hAnsi="Arial" w:cs="Arial"/>
            <w:sz w:val="18"/>
            <w:szCs w:val="18"/>
          </w:rPr>
          <w:t>http://driveproject.org.uk/wp-content/uploads/2020/01/Drive-Evaluation-Report-Final.pdf</w:t>
        </w:r>
      </w:hyperlink>
    </w:p>
  </w:footnote>
  <w:footnote w:id="5">
    <w:p w14:paraId="3800C12D" w14:textId="77777777" w:rsidR="009D206F" w:rsidRPr="00CE055F" w:rsidRDefault="009D206F" w:rsidP="005E2F51">
      <w:pPr>
        <w:pStyle w:val="FootnoteText"/>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A full-time equivalent, sometimes abbreviated as FTE, is a unit to measure employed persons in a way that makes them comparable although they may work a different number of hours per week. </w:t>
      </w:r>
      <w:hyperlink r:id="rId3" w:history="1">
        <w:r w:rsidRPr="00CE055F">
          <w:rPr>
            <w:rStyle w:val="Hyperlink"/>
            <w:rFonts w:ascii="Arial" w:hAnsi="Arial" w:cs="Arial"/>
            <w:sz w:val="18"/>
            <w:szCs w:val="18"/>
          </w:rPr>
          <w:t>https://ec.europa.eu/eurostat/statistics-explained/index.php?title=Glossary:Full-time_equivalent_(FTE)</w:t>
        </w:r>
      </w:hyperlink>
    </w:p>
  </w:footnote>
  <w:footnote w:id="6">
    <w:p w14:paraId="2BC50B43" w14:textId="77777777" w:rsidR="009D206F" w:rsidRPr="00CE055F" w:rsidRDefault="009D206F" w:rsidP="00DA77BB">
      <w:pPr>
        <w:pStyle w:val="FootnoteText"/>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Metropolitan Police data on domestic abuse offences and incidents in Harrow: 2017-2021 </w:t>
      </w:r>
    </w:p>
    <w:p w14:paraId="414DC6EE" w14:textId="77777777" w:rsidR="009D206F" w:rsidRPr="00CE055F" w:rsidRDefault="009D206F" w:rsidP="00DA77BB">
      <w:pPr>
        <w:pStyle w:val="FootnoteText"/>
        <w:rPr>
          <w:rFonts w:ascii="Arial" w:hAnsi="Arial" w:cs="Arial"/>
          <w:sz w:val="18"/>
          <w:szCs w:val="18"/>
        </w:rPr>
      </w:pPr>
      <w:r w:rsidRPr="00CE055F">
        <w:rPr>
          <w:rFonts w:ascii="Arial" w:hAnsi="Arial" w:cs="Arial"/>
          <w:sz w:val="18"/>
          <w:szCs w:val="18"/>
        </w:rPr>
        <w:t>(12 months rolling year).</w:t>
      </w:r>
    </w:p>
  </w:footnote>
  <w:footnote w:id="7">
    <w:p w14:paraId="5FD57E23" w14:textId="77777777" w:rsidR="009D206F" w:rsidRPr="00CE055F" w:rsidRDefault="009D206F" w:rsidP="00DA77BB">
      <w:pPr>
        <w:pStyle w:val="FootnoteText"/>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Domestic Abuse and Sexual Offences, Safer Harrow, Harrow Business Intelligence Unit, June 2022</w:t>
      </w:r>
    </w:p>
  </w:footnote>
  <w:footnote w:id="8">
    <w:p w14:paraId="1C54F137" w14:textId="77777777" w:rsidR="009D206F" w:rsidRPr="00CE055F" w:rsidRDefault="009D206F" w:rsidP="00DA77BB">
      <w:pPr>
        <w:pStyle w:val="FootnoteText"/>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Annual Strategic Assessment 2021 A Summary of Crime in Harrow in 2020/21</w:t>
      </w:r>
    </w:p>
  </w:footnote>
  <w:footnote w:id="9">
    <w:p w14:paraId="0246F634" w14:textId="199CEDC5" w:rsidR="009D206F" w:rsidRPr="00AA1A9D" w:rsidRDefault="009D206F">
      <w:pPr>
        <w:pStyle w:val="FootnoteText"/>
        <w:rPr>
          <w:rFonts w:ascii="Arial" w:hAnsi="Arial" w:cs="Arial"/>
          <w:sz w:val="18"/>
          <w:szCs w:val="18"/>
        </w:rPr>
      </w:pPr>
      <w:r w:rsidRPr="00AA1A9D">
        <w:rPr>
          <w:rStyle w:val="FootnoteReference"/>
          <w:rFonts w:ascii="Arial" w:hAnsi="Arial" w:cs="Arial"/>
          <w:sz w:val="18"/>
          <w:szCs w:val="18"/>
        </w:rPr>
        <w:footnoteRef/>
      </w:r>
      <w:r w:rsidRPr="00AA1A9D">
        <w:rPr>
          <w:rFonts w:ascii="Arial" w:hAnsi="Arial" w:cs="Arial"/>
          <w:sz w:val="18"/>
          <w:szCs w:val="18"/>
        </w:rPr>
        <w:t xml:space="preserve"> Metropolitan Police data on domestic abuse offences and incidents in Harrow: 2017-2021</w:t>
      </w:r>
    </w:p>
  </w:footnote>
  <w:footnote w:id="10">
    <w:p w14:paraId="51351F24" w14:textId="77777777" w:rsidR="009D206F" w:rsidRPr="00CE055F" w:rsidRDefault="009D206F" w:rsidP="00DA77BB">
      <w:pPr>
        <w:pStyle w:val="FootnoteText"/>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Annual Strategic Assessment 2021 A Summary of Crime in Harrow in 2020/21</w:t>
      </w:r>
    </w:p>
  </w:footnote>
  <w:footnote w:id="11">
    <w:p w14:paraId="36D0B238" w14:textId="77777777" w:rsidR="009D206F" w:rsidRPr="00CE055F" w:rsidRDefault="009D206F" w:rsidP="006A1BB4">
      <w:pPr>
        <w:pStyle w:val="FootnoteText"/>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w:t>
      </w:r>
      <w:r w:rsidRPr="00CE055F">
        <w:rPr>
          <w:rFonts w:ascii="Arial" w:hAnsi="Arial" w:cs="Arial"/>
          <w:color w:val="202124"/>
          <w:sz w:val="18"/>
          <w:szCs w:val="18"/>
          <w:shd w:val="clear" w:color="auto" w:fill="FFFFFF"/>
        </w:rPr>
        <w:t>Destitution Domestic Violence (DDV) concession is aimed at. protecting victims of domestic abuse, by allowing them to notify the UK Border Agency. (UKBA) that they need to access public funds while they make a claim for indefinite leave to remain as a victim of domestic violence.</w:t>
      </w:r>
    </w:p>
  </w:footnote>
  <w:footnote w:id="12">
    <w:p w14:paraId="7F51D5F9" w14:textId="77777777" w:rsidR="009D206F" w:rsidRPr="00CE055F" w:rsidRDefault="009D206F" w:rsidP="006A1BB4">
      <w:pPr>
        <w:pStyle w:val="FootnoteText"/>
        <w:rPr>
          <w:rFonts w:ascii="Arial" w:hAnsi="Arial" w:cs="Arial"/>
          <w:sz w:val="18"/>
          <w:szCs w:val="18"/>
        </w:rPr>
      </w:pPr>
      <w:r w:rsidRPr="00CE055F">
        <w:rPr>
          <w:rStyle w:val="FootnoteReference"/>
          <w:rFonts w:ascii="Arial" w:hAnsi="Arial" w:cs="Arial"/>
          <w:sz w:val="18"/>
          <w:szCs w:val="18"/>
        </w:rPr>
        <w:footnoteRef/>
      </w:r>
      <w:r w:rsidRPr="00CE055F">
        <w:rPr>
          <w:rFonts w:ascii="Arial" w:hAnsi="Arial" w:cs="Arial"/>
          <w:sz w:val="18"/>
          <w:szCs w:val="18"/>
        </w:rPr>
        <w:t xml:space="preserve"> Repeat victimisation: Repeat victimisation matters because MARAC aims to minimise the number of times a survivor is being abused by managing risk and putting safeguarding in place. Definition of a repeat is where the same survivor is being abused by the same perpetrator within a 12-month period.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D206F" w:rsidRDefault="009D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D206F" w:rsidRDefault="009D206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iIvAcY0M">
      <int2:state int2:value="Rejected" int2:type="LegacyProofing"/>
    </int2:textHash>
    <int2:bookmark int2:bookmarkName="_Int_vkBx8RlK" int2:invalidationBookmarkName="" int2:hashCode="2jtakNqtS47Y2C" int2:id="ag87ynG5">
      <int2:state int2:value="Rejected" int2:type="LegacyProofing"/>
    </int2:bookmark>
    <int2:bookmark int2:bookmarkName="_Int_tz1c5k75" int2:invalidationBookmarkName="" int2:hashCode="xBJ8Mia4tGkCvy" int2:id="q8I5EBQ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1253"/>
    <w:multiLevelType w:val="hybridMultilevel"/>
    <w:tmpl w:val="6F4E675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AA1051A"/>
    <w:multiLevelType w:val="hybridMultilevel"/>
    <w:tmpl w:val="C068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1353"/>
    <w:multiLevelType w:val="hybridMultilevel"/>
    <w:tmpl w:val="F7A2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C3C4B"/>
    <w:multiLevelType w:val="multilevel"/>
    <w:tmpl w:val="AE6C15A0"/>
    <w:lvl w:ilvl="0">
      <w:numFmt w:val="bullet"/>
      <w:lvlText w:val=""/>
      <w:lvlJc w:val="left"/>
      <w:pPr>
        <w:ind w:left="1147" w:hanging="360"/>
      </w:pPr>
      <w:rPr>
        <w:rFonts w:ascii="Symbol" w:hAnsi="Symbol"/>
      </w:rPr>
    </w:lvl>
    <w:lvl w:ilvl="1">
      <w:start w:val="1"/>
      <w:numFmt w:val="lowerLetter"/>
      <w:lvlText w:val="%2."/>
      <w:lvlJc w:val="left"/>
      <w:pPr>
        <w:ind w:left="1867" w:hanging="360"/>
      </w:pPr>
    </w:lvl>
    <w:lvl w:ilvl="2">
      <w:start w:val="1"/>
      <w:numFmt w:val="lowerRoman"/>
      <w:lvlText w:val="%3."/>
      <w:lvlJc w:val="right"/>
      <w:pPr>
        <w:ind w:left="2587" w:hanging="180"/>
      </w:pPr>
    </w:lvl>
    <w:lvl w:ilvl="3">
      <w:start w:val="1"/>
      <w:numFmt w:val="decimal"/>
      <w:lvlText w:val="%4."/>
      <w:lvlJc w:val="left"/>
      <w:pPr>
        <w:ind w:left="3307" w:hanging="360"/>
      </w:pPr>
    </w:lvl>
    <w:lvl w:ilvl="4">
      <w:start w:val="1"/>
      <w:numFmt w:val="lowerLetter"/>
      <w:lvlText w:val="%5."/>
      <w:lvlJc w:val="left"/>
      <w:pPr>
        <w:ind w:left="4027" w:hanging="360"/>
      </w:pPr>
    </w:lvl>
    <w:lvl w:ilvl="5">
      <w:start w:val="1"/>
      <w:numFmt w:val="lowerRoman"/>
      <w:lvlText w:val="%6."/>
      <w:lvlJc w:val="right"/>
      <w:pPr>
        <w:ind w:left="4747" w:hanging="180"/>
      </w:pPr>
    </w:lvl>
    <w:lvl w:ilvl="6">
      <w:start w:val="1"/>
      <w:numFmt w:val="decimal"/>
      <w:lvlText w:val="%7."/>
      <w:lvlJc w:val="left"/>
      <w:pPr>
        <w:ind w:left="5467" w:hanging="360"/>
      </w:pPr>
    </w:lvl>
    <w:lvl w:ilvl="7">
      <w:start w:val="1"/>
      <w:numFmt w:val="lowerLetter"/>
      <w:lvlText w:val="%8."/>
      <w:lvlJc w:val="left"/>
      <w:pPr>
        <w:ind w:left="6187" w:hanging="360"/>
      </w:pPr>
    </w:lvl>
    <w:lvl w:ilvl="8">
      <w:start w:val="1"/>
      <w:numFmt w:val="lowerRoman"/>
      <w:lvlText w:val="%9."/>
      <w:lvlJc w:val="right"/>
      <w:pPr>
        <w:ind w:left="6907" w:hanging="180"/>
      </w:pPr>
    </w:lvl>
  </w:abstractNum>
  <w:abstractNum w:abstractNumId="4" w15:restartNumberingAfterBreak="0">
    <w:nsid w:val="0DC577C3"/>
    <w:multiLevelType w:val="multilevel"/>
    <w:tmpl w:val="8552083C"/>
    <w:lvl w:ilvl="0">
      <w:start w:val="6"/>
      <w:numFmt w:val="decimal"/>
      <w:lvlText w:val="%1"/>
      <w:lvlJc w:val="left"/>
      <w:pPr>
        <w:ind w:left="533" w:hanging="533"/>
      </w:pPr>
      <w:rPr>
        <w:rFonts w:ascii="ArialMT" w:hAnsi="ArialMT" w:cs="ArialMT"/>
      </w:rPr>
    </w:lvl>
    <w:lvl w:ilvl="1">
      <w:start w:val="2"/>
      <w:numFmt w:val="decimal"/>
      <w:lvlText w:val="%1.%2"/>
      <w:lvlJc w:val="left"/>
      <w:pPr>
        <w:ind w:left="533" w:hanging="533"/>
      </w:pPr>
      <w:rPr>
        <w:rFonts w:ascii="ArialMT" w:hAnsi="ArialMT" w:cs="ArialMT"/>
      </w:rPr>
    </w:lvl>
    <w:lvl w:ilvl="2">
      <w:start w:val="1"/>
      <w:numFmt w:val="decimal"/>
      <w:lvlText w:val="%1.%2.%3"/>
      <w:lvlJc w:val="left"/>
      <w:pPr>
        <w:ind w:left="720" w:hanging="720"/>
      </w:pPr>
      <w:rPr>
        <w:rFonts w:ascii="ArialMT" w:hAnsi="ArialMT" w:cs="ArialMT"/>
      </w:rPr>
    </w:lvl>
    <w:lvl w:ilvl="3">
      <w:start w:val="1"/>
      <w:numFmt w:val="decimal"/>
      <w:lvlText w:val="%1.%2.%3.%4"/>
      <w:lvlJc w:val="left"/>
      <w:pPr>
        <w:ind w:left="1080" w:hanging="1080"/>
      </w:pPr>
      <w:rPr>
        <w:rFonts w:ascii="ArialMT" w:hAnsi="ArialMT" w:cs="ArialMT"/>
      </w:rPr>
    </w:lvl>
    <w:lvl w:ilvl="4">
      <w:start w:val="1"/>
      <w:numFmt w:val="decimal"/>
      <w:lvlText w:val="%1.%2.%3.%4.%5"/>
      <w:lvlJc w:val="left"/>
      <w:pPr>
        <w:ind w:left="1080" w:hanging="1080"/>
      </w:pPr>
      <w:rPr>
        <w:rFonts w:ascii="ArialMT" w:hAnsi="ArialMT" w:cs="ArialMT"/>
      </w:rPr>
    </w:lvl>
    <w:lvl w:ilvl="5">
      <w:start w:val="1"/>
      <w:numFmt w:val="decimal"/>
      <w:lvlText w:val="%1.%2.%3.%4.%5.%6"/>
      <w:lvlJc w:val="left"/>
      <w:pPr>
        <w:ind w:left="1440" w:hanging="1440"/>
      </w:pPr>
      <w:rPr>
        <w:rFonts w:ascii="ArialMT" w:hAnsi="ArialMT" w:cs="ArialMT"/>
      </w:rPr>
    </w:lvl>
    <w:lvl w:ilvl="6">
      <w:start w:val="1"/>
      <w:numFmt w:val="decimal"/>
      <w:lvlText w:val="%1.%2.%3.%4.%5.%6.%7"/>
      <w:lvlJc w:val="left"/>
      <w:pPr>
        <w:ind w:left="1440" w:hanging="1440"/>
      </w:pPr>
      <w:rPr>
        <w:rFonts w:ascii="ArialMT" w:hAnsi="ArialMT" w:cs="ArialMT"/>
      </w:rPr>
    </w:lvl>
    <w:lvl w:ilvl="7">
      <w:start w:val="1"/>
      <w:numFmt w:val="decimal"/>
      <w:lvlText w:val="%1.%2.%3.%4.%5.%6.%7.%8"/>
      <w:lvlJc w:val="left"/>
      <w:pPr>
        <w:ind w:left="1800" w:hanging="1800"/>
      </w:pPr>
      <w:rPr>
        <w:rFonts w:ascii="ArialMT" w:hAnsi="ArialMT" w:cs="ArialMT"/>
      </w:rPr>
    </w:lvl>
    <w:lvl w:ilvl="8">
      <w:start w:val="1"/>
      <w:numFmt w:val="decimal"/>
      <w:lvlText w:val="%1.%2.%3.%4.%5.%6.%7.%8.%9"/>
      <w:lvlJc w:val="left"/>
      <w:pPr>
        <w:ind w:left="1800" w:hanging="1800"/>
      </w:pPr>
      <w:rPr>
        <w:rFonts w:ascii="ArialMT" w:hAnsi="ArialMT" w:cs="ArialM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C121F"/>
    <w:multiLevelType w:val="multilevel"/>
    <w:tmpl w:val="D2EE9E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577196"/>
    <w:multiLevelType w:val="multilevel"/>
    <w:tmpl w:val="96CA4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5143924"/>
    <w:multiLevelType w:val="multilevel"/>
    <w:tmpl w:val="92C8A6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632C4"/>
    <w:multiLevelType w:val="multilevel"/>
    <w:tmpl w:val="8F02AD9C"/>
    <w:lvl w:ilvl="0">
      <w:start w:val="6"/>
      <w:numFmt w:val="decimal"/>
      <w:lvlText w:val="%1"/>
      <w:lvlJc w:val="left"/>
      <w:pPr>
        <w:ind w:left="533" w:hanging="533"/>
      </w:pPr>
      <w:rPr>
        <w:rFonts w:ascii="ArialMT" w:hAnsi="ArialMT" w:cs="ArialMT"/>
      </w:rPr>
    </w:lvl>
    <w:lvl w:ilvl="1">
      <w:start w:val="2"/>
      <w:numFmt w:val="decimal"/>
      <w:lvlText w:val="%1.%2"/>
      <w:lvlJc w:val="left"/>
      <w:pPr>
        <w:ind w:left="533" w:hanging="533"/>
      </w:pPr>
      <w:rPr>
        <w:rFonts w:ascii="ArialMT" w:hAnsi="ArialMT" w:cs="ArialMT"/>
      </w:rPr>
    </w:lvl>
    <w:lvl w:ilvl="2">
      <w:start w:val="1"/>
      <w:numFmt w:val="decimal"/>
      <w:lvlText w:val="%1.%2.%3"/>
      <w:lvlJc w:val="left"/>
      <w:pPr>
        <w:ind w:left="720" w:hanging="720"/>
      </w:pPr>
      <w:rPr>
        <w:rFonts w:ascii="ArialMT" w:hAnsi="ArialMT" w:cs="ArialMT"/>
        <w:b w:val="0"/>
        <w:bCs/>
      </w:rPr>
    </w:lvl>
    <w:lvl w:ilvl="3">
      <w:start w:val="1"/>
      <w:numFmt w:val="decimal"/>
      <w:lvlText w:val="%1.%2.%3.%4"/>
      <w:lvlJc w:val="left"/>
      <w:pPr>
        <w:ind w:left="1080" w:hanging="1080"/>
      </w:pPr>
      <w:rPr>
        <w:rFonts w:ascii="ArialMT" w:hAnsi="ArialMT" w:cs="ArialMT"/>
      </w:rPr>
    </w:lvl>
    <w:lvl w:ilvl="4">
      <w:start w:val="1"/>
      <w:numFmt w:val="decimal"/>
      <w:lvlText w:val="%1.%2.%3.%4.%5"/>
      <w:lvlJc w:val="left"/>
      <w:pPr>
        <w:ind w:left="1080" w:hanging="1080"/>
      </w:pPr>
      <w:rPr>
        <w:rFonts w:ascii="ArialMT" w:hAnsi="ArialMT" w:cs="ArialMT"/>
      </w:rPr>
    </w:lvl>
    <w:lvl w:ilvl="5">
      <w:start w:val="1"/>
      <w:numFmt w:val="decimal"/>
      <w:lvlText w:val="%1.%2.%3.%4.%5.%6"/>
      <w:lvlJc w:val="left"/>
      <w:pPr>
        <w:ind w:left="1440" w:hanging="1440"/>
      </w:pPr>
      <w:rPr>
        <w:rFonts w:ascii="ArialMT" w:hAnsi="ArialMT" w:cs="ArialMT"/>
      </w:rPr>
    </w:lvl>
    <w:lvl w:ilvl="6">
      <w:start w:val="1"/>
      <w:numFmt w:val="decimal"/>
      <w:lvlText w:val="%1.%2.%3.%4.%5.%6.%7"/>
      <w:lvlJc w:val="left"/>
      <w:pPr>
        <w:ind w:left="1440" w:hanging="1440"/>
      </w:pPr>
      <w:rPr>
        <w:rFonts w:ascii="ArialMT" w:hAnsi="ArialMT" w:cs="ArialMT"/>
      </w:rPr>
    </w:lvl>
    <w:lvl w:ilvl="7">
      <w:start w:val="1"/>
      <w:numFmt w:val="decimal"/>
      <w:lvlText w:val="%1.%2.%3.%4.%5.%6.%7.%8"/>
      <w:lvlJc w:val="left"/>
      <w:pPr>
        <w:ind w:left="1800" w:hanging="1800"/>
      </w:pPr>
      <w:rPr>
        <w:rFonts w:ascii="ArialMT" w:hAnsi="ArialMT" w:cs="ArialMT"/>
      </w:rPr>
    </w:lvl>
    <w:lvl w:ilvl="8">
      <w:start w:val="1"/>
      <w:numFmt w:val="decimal"/>
      <w:lvlText w:val="%1.%2.%3.%4.%5.%6.%7.%8.%9"/>
      <w:lvlJc w:val="left"/>
      <w:pPr>
        <w:ind w:left="1800" w:hanging="1800"/>
      </w:pPr>
      <w:rPr>
        <w:rFonts w:ascii="ArialMT" w:hAnsi="ArialMT" w:cs="ArialMT"/>
      </w:rPr>
    </w:lvl>
  </w:abstractNum>
  <w:abstractNum w:abstractNumId="12" w15:restartNumberingAfterBreak="0">
    <w:nsid w:val="2C196920"/>
    <w:multiLevelType w:val="multilevel"/>
    <w:tmpl w:val="A13A9B90"/>
    <w:lvl w:ilvl="0">
      <w:start w:val="1"/>
      <w:numFmt w:val="lowerLetter"/>
      <w:lvlText w:val="%1)"/>
      <w:lvlJc w:val="left"/>
      <w:pPr>
        <w:ind w:left="1080" w:hanging="360"/>
      </w:pPr>
      <w:rPr>
        <w:b w:val="0"/>
        <w:bC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E897F07"/>
    <w:multiLevelType w:val="multilevel"/>
    <w:tmpl w:val="1A1E769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20113FD"/>
    <w:multiLevelType w:val="multilevel"/>
    <w:tmpl w:val="163C48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CB779DC"/>
    <w:multiLevelType w:val="multilevel"/>
    <w:tmpl w:val="9DCC37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7390D35"/>
    <w:multiLevelType w:val="hybridMultilevel"/>
    <w:tmpl w:val="C322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B690F"/>
    <w:multiLevelType w:val="hybridMultilevel"/>
    <w:tmpl w:val="3E268114"/>
    <w:lvl w:ilvl="0" w:tplc="69D47D1C">
      <w:start w:val="1"/>
      <w:numFmt w:val="bullet"/>
      <w:lvlText w:val=""/>
      <w:lvlJc w:val="left"/>
      <w:pPr>
        <w:ind w:left="720" w:hanging="360"/>
      </w:pPr>
      <w:rPr>
        <w:rFonts w:ascii="Symbol" w:hAnsi="Symbol" w:hint="default"/>
        <w:b w:val="0"/>
      </w:rPr>
    </w:lvl>
    <w:lvl w:ilvl="1" w:tplc="198EA326">
      <w:numFmt w:val="bullet"/>
      <w:lvlText w:val="o"/>
      <w:lvlJc w:val="left"/>
      <w:pPr>
        <w:ind w:left="1440" w:hanging="360"/>
      </w:pPr>
      <w:rPr>
        <w:rFonts w:ascii="Courier New" w:hAnsi="Courier New" w:hint="default"/>
      </w:rPr>
    </w:lvl>
    <w:lvl w:ilvl="2" w:tplc="55483EA8">
      <w:numFmt w:val="bullet"/>
      <w:lvlText w:val=""/>
      <w:lvlJc w:val="left"/>
      <w:pPr>
        <w:ind w:left="2160" w:hanging="360"/>
      </w:pPr>
      <w:rPr>
        <w:rFonts w:ascii="Wingdings" w:hAnsi="Wingdings" w:hint="default"/>
      </w:rPr>
    </w:lvl>
    <w:lvl w:ilvl="3" w:tplc="1F8EDCA6">
      <w:numFmt w:val="bullet"/>
      <w:lvlText w:val=""/>
      <w:lvlJc w:val="left"/>
      <w:pPr>
        <w:ind w:left="2880" w:hanging="360"/>
      </w:pPr>
      <w:rPr>
        <w:rFonts w:ascii="Symbol" w:hAnsi="Symbol" w:hint="default"/>
      </w:rPr>
    </w:lvl>
    <w:lvl w:ilvl="4" w:tplc="7B444084">
      <w:numFmt w:val="bullet"/>
      <w:lvlText w:val="o"/>
      <w:lvlJc w:val="left"/>
      <w:pPr>
        <w:ind w:left="3600" w:hanging="360"/>
      </w:pPr>
      <w:rPr>
        <w:rFonts w:ascii="Courier New" w:hAnsi="Courier New" w:hint="default"/>
      </w:rPr>
    </w:lvl>
    <w:lvl w:ilvl="5" w:tplc="94BECB10">
      <w:numFmt w:val="bullet"/>
      <w:lvlText w:val=""/>
      <w:lvlJc w:val="left"/>
      <w:pPr>
        <w:ind w:left="4320" w:hanging="360"/>
      </w:pPr>
      <w:rPr>
        <w:rFonts w:ascii="Wingdings" w:hAnsi="Wingdings" w:hint="default"/>
      </w:rPr>
    </w:lvl>
    <w:lvl w:ilvl="6" w:tplc="B07E5EE6">
      <w:numFmt w:val="bullet"/>
      <w:lvlText w:val=""/>
      <w:lvlJc w:val="left"/>
      <w:pPr>
        <w:ind w:left="5040" w:hanging="360"/>
      </w:pPr>
      <w:rPr>
        <w:rFonts w:ascii="Symbol" w:hAnsi="Symbol" w:hint="default"/>
      </w:rPr>
    </w:lvl>
    <w:lvl w:ilvl="7" w:tplc="1EA40152">
      <w:numFmt w:val="bullet"/>
      <w:lvlText w:val="o"/>
      <w:lvlJc w:val="left"/>
      <w:pPr>
        <w:ind w:left="5760" w:hanging="360"/>
      </w:pPr>
      <w:rPr>
        <w:rFonts w:ascii="Courier New" w:hAnsi="Courier New" w:hint="default"/>
      </w:rPr>
    </w:lvl>
    <w:lvl w:ilvl="8" w:tplc="F3C43824">
      <w:numFmt w:val="bullet"/>
      <w:lvlText w:val=""/>
      <w:lvlJc w:val="left"/>
      <w:pPr>
        <w:ind w:left="6480" w:hanging="360"/>
      </w:pPr>
      <w:rPr>
        <w:rFonts w:ascii="Wingdings" w:hAnsi="Wingdings" w:hint="default"/>
      </w:rPr>
    </w:lvl>
  </w:abstractNum>
  <w:abstractNum w:abstractNumId="20" w15:restartNumberingAfterBreak="0">
    <w:nsid w:val="53ED73AD"/>
    <w:multiLevelType w:val="multilevel"/>
    <w:tmpl w:val="FA1E11E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1" w15:restartNumberingAfterBreak="0">
    <w:nsid w:val="5A02CE4D"/>
    <w:multiLevelType w:val="hybridMultilevel"/>
    <w:tmpl w:val="7642E5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A64B5A"/>
    <w:multiLevelType w:val="hybridMultilevel"/>
    <w:tmpl w:val="56A4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C1FAF"/>
    <w:multiLevelType w:val="hybridMultilevel"/>
    <w:tmpl w:val="8D52F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75069"/>
    <w:multiLevelType w:val="hybridMultilevel"/>
    <w:tmpl w:val="17325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C3D22"/>
    <w:multiLevelType w:val="multilevel"/>
    <w:tmpl w:val="E0140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6C3F11"/>
    <w:multiLevelType w:val="multilevel"/>
    <w:tmpl w:val="6D6E7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9D84AA9"/>
    <w:multiLevelType w:val="multilevel"/>
    <w:tmpl w:val="D28CF784"/>
    <w:lvl w:ilvl="0">
      <w:start w:val="2"/>
      <w:numFmt w:val="decimal"/>
      <w:lvlText w:val="%1."/>
      <w:lvlJc w:val="left"/>
      <w:pPr>
        <w:ind w:left="588" w:hanging="360"/>
      </w:pPr>
    </w:lvl>
    <w:lvl w:ilvl="1">
      <w:start w:val="1"/>
      <w:numFmt w:val="decimal"/>
      <w:lvlText w:val="%1.%2"/>
      <w:lvlJc w:val="left"/>
      <w:pPr>
        <w:ind w:left="588" w:hanging="360"/>
      </w:pPr>
      <w:rPr>
        <w:b w:val="0"/>
        <w:bCs w:val="0"/>
      </w:rPr>
    </w:lvl>
    <w:lvl w:ilvl="2">
      <w:start w:val="1"/>
      <w:numFmt w:val="decimal"/>
      <w:lvlText w:val="%1.%2.%3"/>
      <w:lvlJc w:val="left"/>
      <w:pPr>
        <w:ind w:left="948" w:hanging="720"/>
      </w:pPr>
      <w:rPr>
        <w:b/>
      </w:rPr>
    </w:lvl>
    <w:lvl w:ilvl="3">
      <w:start w:val="1"/>
      <w:numFmt w:val="decimal"/>
      <w:lvlText w:val="%1.%2.%3.%4"/>
      <w:lvlJc w:val="left"/>
      <w:pPr>
        <w:ind w:left="1308" w:hanging="1080"/>
      </w:pPr>
      <w:rPr>
        <w:b/>
      </w:rPr>
    </w:lvl>
    <w:lvl w:ilvl="4">
      <w:start w:val="1"/>
      <w:numFmt w:val="decimal"/>
      <w:lvlText w:val="%1.%2.%3.%4.%5"/>
      <w:lvlJc w:val="left"/>
      <w:pPr>
        <w:ind w:left="1308" w:hanging="1080"/>
      </w:pPr>
      <w:rPr>
        <w:b/>
      </w:rPr>
    </w:lvl>
    <w:lvl w:ilvl="5">
      <w:start w:val="1"/>
      <w:numFmt w:val="decimal"/>
      <w:lvlText w:val="%1.%2.%3.%4.%5.%6"/>
      <w:lvlJc w:val="left"/>
      <w:pPr>
        <w:ind w:left="1668" w:hanging="1440"/>
      </w:pPr>
      <w:rPr>
        <w:b/>
      </w:rPr>
    </w:lvl>
    <w:lvl w:ilvl="6">
      <w:start w:val="1"/>
      <w:numFmt w:val="decimal"/>
      <w:lvlText w:val="%1.%2.%3.%4.%5.%6.%7"/>
      <w:lvlJc w:val="left"/>
      <w:pPr>
        <w:ind w:left="1668" w:hanging="1440"/>
      </w:pPr>
      <w:rPr>
        <w:b/>
      </w:rPr>
    </w:lvl>
    <w:lvl w:ilvl="7">
      <w:start w:val="1"/>
      <w:numFmt w:val="decimal"/>
      <w:lvlText w:val="%1.%2.%3.%4.%5.%6.%7.%8"/>
      <w:lvlJc w:val="left"/>
      <w:pPr>
        <w:ind w:left="2028" w:hanging="1800"/>
      </w:pPr>
      <w:rPr>
        <w:b/>
      </w:rPr>
    </w:lvl>
    <w:lvl w:ilvl="8">
      <w:start w:val="1"/>
      <w:numFmt w:val="decimal"/>
      <w:lvlText w:val="%1.%2.%3.%4.%5.%6.%7.%8.%9"/>
      <w:lvlJc w:val="left"/>
      <w:pPr>
        <w:ind w:left="2028" w:hanging="1800"/>
      </w:pPr>
      <w:rPr>
        <w:b/>
      </w:rPr>
    </w:lvl>
  </w:abstractNum>
  <w:abstractNum w:abstractNumId="29" w15:restartNumberingAfterBreak="0">
    <w:nsid w:val="74233E08"/>
    <w:multiLevelType w:val="multilevel"/>
    <w:tmpl w:val="E0F6DD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74A827A9"/>
    <w:multiLevelType w:val="hybridMultilevel"/>
    <w:tmpl w:val="67BA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D209A"/>
    <w:multiLevelType w:val="multilevel"/>
    <w:tmpl w:val="DEE80800"/>
    <w:lvl w:ilvl="0">
      <w:numFmt w:val="bullet"/>
      <w:lvlText w:val=""/>
      <w:lvlJc w:val="left"/>
      <w:pPr>
        <w:ind w:left="1411" w:hanging="360"/>
      </w:pPr>
      <w:rPr>
        <w:rFonts w:ascii="Symbol" w:hAnsi="Symbol"/>
      </w:rPr>
    </w:lvl>
    <w:lvl w:ilvl="1">
      <w:numFmt w:val="bullet"/>
      <w:lvlText w:val="o"/>
      <w:lvlJc w:val="left"/>
      <w:pPr>
        <w:ind w:left="2131" w:hanging="360"/>
      </w:pPr>
      <w:rPr>
        <w:rFonts w:ascii="Courier New" w:hAnsi="Courier New" w:cs="Courier New"/>
      </w:rPr>
    </w:lvl>
    <w:lvl w:ilvl="2">
      <w:numFmt w:val="bullet"/>
      <w:lvlText w:val=""/>
      <w:lvlJc w:val="left"/>
      <w:pPr>
        <w:ind w:left="2851" w:hanging="360"/>
      </w:pPr>
      <w:rPr>
        <w:rFonts w:ascii="Wingdings" w:hAnsi="Wingdings"/>
      </w:rPr>
    </w:lvl>
    <w:lvl w:ilvl="3">
      <w:numFmt w:val="bullet"/>
      <w:lvlText w:val=""/>
      <w:lvlJc w:val="left"/>
      <w:pPr>
        <w:ind w:left="3571" w:hanging="360"/>
      </w:pPr>
      <w:rPr>
        <w:rFonts w:ascii="Symbol" w:hAnsi="Symbol"/>
      </w:rPr>
    </w:lvl>
    <w:lvl w:ilvl="4">
      <w:numFmt w:val="bullet"/>
      <w:lvlText w:val="o"/>
      <w:lvlJc w:val="left"/>
      <w:pPr>
        <w:ind w:left="4291" w:hanging="360"/>
      </w:pPr>
      <w:rPr>
        <w:rFonts w:ascii="Courier New" w:hAnsi="Courier New" w:cs="Courier New"/>
      </w:rPr>
    </w:lvl>
    <w:lvl w:ilvl="5">
      <w:numFmt w:val="bullet"/>
      <w:lvlText w:val=""/>
      <w:lvlJc w:val="left"/>
      <w:pPr>
        <w:ind w:left="5011" w:hanging="360"/>
      </w:pPr>
      <w:rPr>
        <w:rFonts w:ascii="Wingdings" w:hAnsi="Wingdings"/>
      </w:rPr>
    </w:lvl>
    <w:lvl w:ilvl="6">
      <w:numFmt w:val="bullet"/>
      <w:lvlText w:val=""/>
      <w:lvlJc w:val="left"/>
      <w:pPr>
        <w:ind w:left="5731" w:hanging="360"/>
      </w:pPr>
      <w:rPr>
        <w:rFonts w:ascii="Symbol" w:hAnsi="Symbol"/>
      </w:rPr>
    </w:lvl>
    <w:lvl w:ilvl="7">
      <w:numFmt w:val="bullet"/>
      <w:lvlText w:val="o"/>
      <w:lvlJc w:val="left"/>
      <w:pPr>
        <w:ind w:left="6451" w:hanging="360"/>
      </w:pPr>
      <w:rPr>
        <w:rFonts w:ascii="Courier New" w:hAnsi="Courier New" w:cs="Courier New"/>
      </w:rPr>
    </w:lvl>
    <w:lvl w:ilvl="8">
      <w:numFmt w:val="bullet"/>
      <w:lvlText w:val=""/>
      <w:lvlJc w:val="left"/>
      <w:pPr>
        <w:ind w:left="7171" w:hanging="360"/>
      </w:pPr>
      <w:rPr>
        <w:rFonts w:ascii="Wingdings" w:hAnsi="Wingdings"/>
      </w:rPr>
    </w:lvl>
  </w:abstractNum>
  <w:num w:numId="1">
    <w:abstractNumId w:val="10"/>
  </w:num>
  <w:num w:numId="2">
    <w:abstractNumId w:val="16"/>
  </w:num>
  <w:num w:numId="3">
    <w:abstractNumId w:val="7"/>
  </w:num>
  <w:num w:numId="4">
    <w:abstractNumId w:val="23"/>
  </w:num>
  <w:num w:numId="5">
    <w:abstractNumId w:val="5"/>
  </w:num>
  <w:num w:numId="6">
    <w:abstractNumId w:val="17"/>
  </w:num>
  <w:num w:numId="7">
    <w:abstractNumId w:val="19"/>
  </w:num>
  <w:num w:numId="8">
    <w:abstractNumId w:val="26"/>
  </w:num>
  <w:num w:numId="9">
    <w:abstractNumId w:val="2"/>
  </w:num>
  <w:num w:numId="10">
    <w:abstractNumId w:val="15"/>
    <w:lvlOverride w:ilvl="0">
      <w:startOverride w:val="1"/>
    </w:lvlOverride>
    <w:lvlOverride w:ilvl="1">
      <w:startOverride w:val="1"/>
    </w:lvlOverride>
  </w:num>
  <w:num w:numId="11">
    <w:abstractNumId w:val="15"/>
  </w:num>
  <w:num w:numId="12">
    <w:abstractNumId w:val="3"/>
  </w:num>
  <w:num w:numId="13">
    <w:abstractNumId w:val="9"/>
  </w:num>
  <w:num w:numId="14">
    <w:abstractNumId w:val="28"/>
  </w:num>
  <w:num w:numId="15">
    <w:abstractNumId w:val="27"/>
    <w:lvlOverride w:ilvl="0">
      <w:startOverride w:val="1"/>
    </w:lvlOverride>
  </w:num>
  <w:num w:numId="16">
    <w:abstractNumId w:val="12"/>
  </w:num>
  <w:num w:numId="17">
    <w:abstractNumId w:val="0"/>
  </w:num>
  <w:num w:numId="18">
    <w:abstractNumId w:val="24"/>
  </w:num>
  <w:num w:numId="19">
    <w:abstractNumId w:val="25"/>
  </w:num>
  <w:num w:numId="20">
    <w:abstractNumId w:val="14"/>
  </w:num>
  <w:num w:numId="21">
    <w:abstractNumId w:val="8"/>
  </w:num>
  <w:num w:numId="22">
    <w:abstractNumId w:val="20"/>
  </w:num>
  <w:num w:numId="23">
    <w:abstractNumId w:val="31"/>
  </w:num>
  <w:num w:numId="24">
    <w:abstractNumId w:val="29"/>
  </w:num>
  <w:num w:numId="25">
    <w:abstractNumId w:val="11"/>
  </w:num>
  <w:num w:numId="26">
    <w:abstractNumId w:val="11"/>
    <w:lvlOverride w:ilvl="0">
      <w:startOverride w:val="1"/>
    </w:lvlOverride>
    <w:lvlOverride w:ilvl="1">
      <w:startOverride w:val="1"/>
    </w:lvlOverride>
    <w:lvlOverride w:ilvl="2">
      <w:startOverride w:val="1"/>
    </w:lvlOverride>
  </w:num>
  <w:num w:numId="27">
    <w:abstractNumId w:val="4"/>
  </w:num>
  <w:num w:numId="28">
    <w:abstractNumId w:val="6"/>
  </w:num>
  <w:num w:numId="29">
    <w:abstractNumId w:val="18"/>
  </w:num>
  <w:num w:numId="30">
    <w:abstractNumId w:val="21"/>
  </w:num>
  <w:num w:numId="31">
    <w:abstractNumId w:val="13"/>
  </w:num>
  <w:num w:numId="32">
    <w:abstractNumId w:val="22"/>
  </w:num>
  <w:num w:numId="33">
    <w:abstractNumId w:val="1"/>
  </w:num>
  <w:num w:numId="3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03C"/>
    <w:rsid w:val="00002DB3"/>
    <w:rsid w:val="00007427"/>
    <w:rsid w:val="000117D9"/>
    <w:rsid w:val="00014566"/>
    <w:rsid w:val="00016355"/>
    <w:rsid w:val="00020977"/>
    <w:rsid w:val="00021009"/>
    <w:rsid w:val="00022108"/>
    <w:rsid w:val="000236D7"/>
    <w:rsid w:val="000249F9"/>
    <w:rsid w:val="00030B25"/>
    <w:rsid w:val="00032A7E"/>
    <w:rsid w:val="00033685"/>
    <w:rsid w:val="00033952"/>
    <w:rsid w:val="00034C1B"/>
    <w:rsid w:val="00035525"/>
    <w:rsid w:val="000401A4"/>
    <w:rsid w:val="0004029A"/>
    <w:rsid w:val="00040AAF"/>
    <w:rsid w:val="00040C65"/>
    <w:rsid w:val="00042669"/>
    <w:rsid w:val="00043A85"/>
    <w:rsid w:val="00045AB2"/>
    <w:rsid w:val="00046884"/>
    <w:rsid w:val="000472CC"/>
    <w:rsid w:val="000474E3"/>
    <w:rsid w:val="0005253A"/>
    <w:rsid w:val="00056A7E"/>
    <w:rsid w:val="0006034E"/>
    <w:rsid w:val="00060AB0"/>
    <w:rsid w:val="00060BEA"/>
    <w:rsid w:val="000613B0"/>
    <w:rsid w:val="00063783"/>
    <w:rsid w:val="000662B9"/>
    <w:rsid w:val="00066CDA"/>
    <w:rsid w:val="00073765"/>
    <w:rsid w:val="0008005C"/>
    <w:rsid w:val="00080B40"/>
    <w:rsid w:val="00083201"/>
    <w:rsid w:val="00083398"/>
    <w:rsid w:val="00084346"/>
    <w:rsid w:val="00086D6E"/>
    <w:rsid w:val="000929A6"/>
    <w:rsid w:val="00095FA1"/>
    <w:rsid w:val="00096321"/>
    <w:rsid w:val="00096ABE"/>
    <w:rsid w:val="0009719D"/>
    <w:rsid w:val="000976FC"/>
    <w:rsid w:val="000A067A"/>
    <w:rsid w:val="000A1026"/>
    <w:rsid w:val="000A3DAA"/>
    <w:rsid w:val="000A615F"/>
    <w:rsid w:val="000B23B9"/>
    <w:rsid w:val="000B36B9"/>
    <w:rsid w:val="000B3A97"/>
    <w:rsid w:val="000B3BF3"/>
    <w:rsid w:val="000B5015"/>
    <w:rsid w:val="000B5D34"/>
    <w:rsid w:val="000B788F"/>
    <w:rsid w:val="000B7C66"/>
    <w:rsid w:val="000C100B"/>
    <w:rsid w:val="000C51A6"/>
    <w:rsid w:val="000D07D4"/>
    <w:rsid w:val="000D1BED"/>
    <w:rsid w:val="000D25F5"/>
    <w:rsid w:val="000D4E36"/>
    <w:rsid w:val="000D6DF4"/>
    <w:rsid w:val="000D7547"/>
    <w:rsid w:val="000E066F"/>
    <w:rsid w:val="000E1B82"/>
    <w:rsid w:val="000E2919"/>
    <w:rsid w:val="000E5859"/>
    <w:rsid w:val="000E62FE"/>
    <w:rsid w:val="000E7DF2"/>
    <w:rsid w:val="000F0A35"/>
    <w:rsid w:val="000F32CD"/>
    <w:rsid w:val="000F41AC"/>
    <w:rsid w:val="000F6990"/>
    <w:rsid w:val="000F7582"/>
    <w:rsid w:val="00101D37"/>
    <w:rsid w:val="001039B3"/>
    <w:rsid w:val="00105B8A"/>
    <w:rsid w:val="00105C6F"/>
    <w:rsid w:val="00114612"/>
    <w:rsid w:val="001161E4"/>
    <w:rsid w:val="001164C5"/>
    <w:rsid w:val="00116FD0"/>
    <w:rsid w:val="00117866"/>
    <w:rsid w:val="0012269D"/>
    <w:rsid w:val="00122868"/>
    <w:rsid w:val="00123304"/>
    <w:rsid w:val="00125191"/>
    <w:rsid w:val="001257D6"/>
    <w:rsid w:val="00125A26"/>
    <w:rsid w:val="00125D1F"/>
    <w:rsid w:val="00127C88"/>
    <w:rsid w:val="001305A2"/>
    <w:rsid w:val="001311CE"/>
    <w:rsid w:val="0013450F"/>
    <w:rsid w:val="00135971"/>
    <w:rsid w:val="00135B73"/>
    <w:rsid w:val="00137FE3"/>
    <w:rsid w:val="00140123"/>
    <w:rsid w:val="00141ECF"/>
    <w:rsid w:val="00143E43"/>
    <w:rsid w:val="00143FD8"/>
    <w:rsid w:val="00144D5F"/>
    <w:rsid w:val="00145520"/>
    <w:rsid w:val="00145733"/>
    <w:rsid w:val="001457C1"/>
    <w:rsid w:val="001472A8"/>
    <w:rsid w:val="0015085D"/>
    <w:rsid w:val="00151AD4"/>
    <w:rsid w:val="00152BD1"/>
    <w:rsid w:val="0015376F"/>
    <w:rsid w:val="001543CF"/>
    <w:rsid w:val="00156062"/>
    <w:rsid w:val="001561E3"/>
    <w:rsid w:val="00156F2B"/>
    <w:rsid w:val="001614E0"/>
    <w:rsid w:val="00161DF8"/>
    <w:rsid w:val="00162745"/>
    <w:rsid w:val="00163262"/>
    <w:rsid w:val="00165B33"/>
    <w:rsid w:val="00165BDC"/>
    <w:rsid w:val="00166296"/>
    <w:rsid w:val="001702D4"/>
    <w:rsid w:val="00171BD8"/>
    <w:rsid w:val="001734DE"/>
    <w:rsid w:val="00173BD4"/>
    <w:rsid w:val="00175A6E"/>
    <w:rsid w:val="00176069"/>
    <w:rsid w:val="001763CF"/>
    <w:rsid w:val="0017653E"/>
    <w:rsid w:val="00176791"/>
    <w:rsid w:val="00182B01"/>
    <w:rsid w:val="001840D2"/>
    <w:rsid w:val="00184830"/>
    <w:rsid w:val="001874C2"/>
    <w:rsid w:val="00190B7E"/>
    <w:rsid w:val="00195207"/>
    <w:rsid w:val="001966D7"/>
    <w:rsid w:val="00197E3C"/>
    <w:rsid w:val="001A0CB3"/>
    <w:rsid w:val="001A0D07"/>
    <w:rsid w:val="001A12A0"/>
    <w:rsid w:val="001A1940"/>
    <w:rsid w:val="001A260A"/>
    <w:rsid w:val="001A474B"/>
    <w:rsid w:val="001A4B75"/>
    <w:rsid w:val="001A5F1A"/>
    <w:rsid w:val="001A6575"/>
    <w:rsid w:val="001B08F4"/>
    <w:rsid w:val="001B19A1"/>
    <w:rsid w:val="001B2233"/>
    <w:rsid w:val="001B2728"/>
    <w:rsid w:val="001B32FC"/>
    <w:rsid w:val="001B4C6B"/>
    <w:rsid w:val="001B5B66"/>
    <w:rsid w:val="001B6A2C"/>
    <w:rsid w:val="001B78A7"/>
    <w:rsid w:val="001C0007"/>
    <w:rsid w:val="001C0413"/>
    <w:rsid w:val="001C4D2E"/>
    <w:rsid w:val="001C5B9B"/>
    <w:rsid w:val="001C5F92"/>
    <w:rsid w:val="001C6373"/>
    <w:rsid w:val="001C7D20"/>
    <w:rsid w:val="001C7E35"/>
    <w:rsid w:val="001D0D91"/>
    <w:rsid w:val="001D0ED2"/>
    <w:rsid w:val="001D3ADD"/>
    <w:rsid w:val="001D3B8E"/>
    <w:rsid w:val="001D74E3"/>
    <w:rsid w:val="001E0002"/>
    <w:rsid w:val="001E0666"/>
    <w:rsid w:val="001E120B"/>
    <w:rsid w:val="001E2E5B"/>
    <w:rsid w:val="001E3C06"/>
    <w:rsid w:val="001E748B"/>
    <w:rsid w:val="001E7B33"/>
    <w:rsid w:val="001E7FEC"/>
    <w:rsid w:val="001F0037"/>
    <w:rsid w:val="001F0B90"/>
    <w:rsid w:val="001F0BE9"/>
    <w:rsid w:val="001F2A30"/>
    <w:rsid w:val="001F378E"/>
    <w:rsid w:val="001F5658"/>
    <w:rsid w:val="001F6FA5"/>
    <w:rsid w:val="001F6FBC"/>
    <w:rsid w:val="001F763E"/>
    <w:rsid w:val="001F7730"/>
    <w:rsid w:val="00202599"/>
    <w:rsid w:val="00202D79"/>
    <w:rsid w:val="00202D9C"/>
    <w:rsid w:val="00205D2F"/>
    <w:rsid w:val="00206CEF"/>
    <w:rsid w:val="0021374B"/>
    <w:rsid w:val="002144D5"/>
    <w:rsid w:val="00214E3C"/>
    <w:rsid w:val="002153A0"/>
    <w:rsid w:val="00215A61"/>
    <w:rsid w:val="00215E8F"/>
    <w:rsid w:val="00220275"/>
    <w:rsid w:val="00220657"/>
    <w:rsid w:val="00221A93"/>
    <w:rsid w:val="002227C7"/>
    <w:rsid w:val="00224C1C"/>
    <w:rsid w:val="0022531A"/>
    <w:rsid w:val="00227867"/>
    <w:rsid w:val="002316B8"/>
    <w:rsid w:val="002322BB"/>
    <w:rsid w:val="002323B8"/>
    <w:rsid w:val="002337AA"/>
    <w:rsid w:val="00234F6A"/>
    <w:rsid w:val="00235C04"/>
    <w:rsid w:val="00237F0C"/>
    <w:rsid w:val="0024041E"/>
    <w:rsid w:val="00241C9A"/>
    <w:rsid w:val="002431F5"/>
    <w:rsid w:val="0024463B"/>
    <w:rsid w:val="00250225"/>
    <w:rsid w:val="002508A7"/>
    <w:rsid w:val="00250A21"/>
    <w:rsid w:val="00251254"/>
    <w:rsid w:val="00252359"/>
    <w:rsid w:val="00253024"/>
    <w:rsid w:val="002535A8"/>
    <w:rsid w:val="002548D1"/>
    <w:rsid w:val="00254E4D"/>
    <w:rsid w:val="002568D6"/>
    <w:rsid w:val="00261777"/>
    <w:rsid w:val="0027170B"/>
    <w:rsid w:val="0027283B"/>
    <w:rsid w:val="00272A98"/>
    <w:rsid w:val="00272FA7"/>
    <w:rsid w:val="00273B45"/>
    <w:rsid w:val="00273CE4"/>
    <w:rsid w:val="0027572B"/>
    <w:rsid w:val="00276E57"/>
    <w:rsid w:val="002777BA"/>
    <w:rsid w:val="002779A2"/>
    <w:rsid w:val="0028019B"/>
    <w:rsid w:val="002813A6"/>
    <w:rsid w:val="00282E28"/>
    <w:rsid w:val="00282E73"/>
    <w:rsid w:val="00283CAB"/>
    <w:rsid w:val="0028525A"/>
    <w:rsid w:val="0028791A"/>
    <w:rsid w:val="00287EB3"/>
    <w:rsid w:val="00292953"/>
    <w:rsid w:val="002933A7"/>
    <w:rsid w:val="00297021"/>
    <w:rsid w:val="002A1C41"/>
    <w:rsid w:val="002A3FEF"/>
    <w:rsid w:val="002A633B"/>
    <w:rsid w:val="002A711D"/>
    <w:rsid w:val="002B0F60"/>
    <w:rsid w:val="002B40EE"/>
    <w:rsid w:val="002B54A6"/>
    <w:rsid w:val="002B58F5"/>
    <w:rsid w:val="002C1F55"/>
    <w:rsid w:val="002C2E0E"/>
    <w:rsid w:val="002C5469"/>
    <w:rsid w:val="002C5D9E"/>
    <w:rsid w:val="002D3118"/>
    <w:rsid w:val="002D4248"/>
    <w:rsid w:val="002E0B97"/>
    <w:rsid w:val="002E0EC5"/>
    <w:rsid w:val="002E504D"/>
    <w:rsid w:val="002F03D9"/>
    <w:rsid w:val="002F1927"/>
    <w:rsid w:val="002F1E11"/>
    <w:rsid w:val="002F3EE9"/>
    <w:rsid w:val="002F4970"/>
    <w:rsid w:val="002F75A2"/>
    <w:rsid w:val="0030156C"/>
    <w:rsid w:val="003035BF"/>
    <w:rsid w:val="00304062"/>
    <w:rsid w:val="003042A7"/>
    <w:rsid w:val="0030507E"/>
    <w:rsid w:val="003070BF"/>
    <w:rsid w:val="00307F76"/>
    <w:rsid w:val="00310233"/>
    <w:rsid w:val="00313AA8"/>
    <w:rsid w:val="00314C57"/>
    <w:rsid w:val="00321FBB"/>
    <w:rsid w:val="00323716"/>
    <w:rsid w:val="00326980"/>
    <w:rsid w:val="00327027"/>
    <w:rsid w:val="00330832"/>
    <w:rsid w:val="003313EA"/>
    <w:rsid w:val="003321DC"/>
    <w:rsid w:val="00332753"/>
    <w:rsid w:val="00332BDA"/>
    <w:rsid w:val="00333E0B"/>
    <w:rsid w:val="00333FAA"/>
    <w:rsid w:val="003344B9"/>
    <w:rsid w:val="003355D7"/>
    <w:rsid w:val="003375E7"/>
    <w:rsid w:val="00340A19"/>
    <w:rsid w:val="00345243"/>
    <w:rsid w:val="00345D54"/>
    <w:rsid w:val="00352DAA"/>
    <w:rsid w:val="00355FCA"/>
    <w:rsid w:val="0036201C"/>
    <w:rsid w:val="00362A35"/>
    <w:rsid w:val="00362A41"/>
    <w:rsid w:val="00362B67"/>
    <w:rsid w:val="00362D39"/>
    <w:rsid w:val="00362F21"/>
    <w:rsid w:val="00364993"/>
    <w:rsid w:val="003656C5"/>
    <w:rsid w:val="00366109"/>
    <w:rsid w:val="00370248"/>
    <w:rsid w:val="00370F6E"/>
    <w:rsid w:val="0037566A"/>
    <w:rsid w:val="003756B0"/>
    <w:rsid w:val="00375FE2"/>
    <w:rsid w:val="003763D2"/>
    <w:rsid w:val="00376768"/>
    <w:rsid w:val="00376C5D"/>
    <w:rsid w:val="00377011"/>
    <w:rsid w:val="00377239"/>
    <w:rsid w:val="0038063D"/>
    <w:rsid w:val="00380D15"/>
    <w:rsid w:val="00380F87"/>
    <w:rsid w:val="00382659"/>
    <w:rsid w:val="0038295E"/>
    <w:rsid w:val="00386040"/>
    <w:rsid w:val="0039115B"/>
    <w:rsid w:val="00391F58"/>
    <w:rsid w:val="0039266E"/>
    <w:rsid w:val="003946CF"/>
    <w:rsid w:val="00394966"/>
    <w:rsid w:val="003950C0"/>
    <w:rsid w:val="00396572"/>
    <w:rsid w:val="00397338"/>
    <w:rsid w:val="0039D41E"/>
    <w:rsid w:val="003A6554"/>
    <w:rsid w:val="003B212F"/>
    <w:rsid w:val="003B4CA7"/>
    <w:rsid w:val="003C0D61"/>
    <w:rsid w:val="003C11A3"/>
    <w:rsid w:val="003C1B99"/>
    <w:rsid w:val="003C270D"/>
    <w:rsid w:val="003C5537"/>
    <w:rsid w:val="003D0608"/>
    <w:rsid w:val="003D2C40"/>
    <w:rsid w:val="003D4995"/>
    <w:rsid w:val="003D5D63"/>
    <w:rsid w:val="003D6184"/>
    <w:rsid w:val="003E08BE"/>
    <w:rsid w:val="003E1144"/>
    <w:rsid w:val="003E1C43"/>
    <w:rsid w:val="003E3F7E"/>
    <w:rsid w:val="003E4010"/>
    <w:rsid w:val="003E5F64"/>
    <w:rsid w:val="003E7A9C"/>
    <w:rsid w:val="003E7FF2"/>
    <w:rsid w:val="003F01F4"/>
    <w:rsid w:val="003F200F"/>
    <w:rsid w:val="003F3AFD"/>
    <w:rsid w:val="003F3E1A"/>
    <w:rsid w:val="003F4B81"/>
    <w:rsid w:val="003F79B9"/>
    <w:rsid w:val="003F79EF"/>
    <w:rsid w:val="004012B4"/>
    <w:rsid w:val="00402904"/>
    <w:rsid w:val="0040411B"/>
    <w:rsid w:val="00404982"/>
    <w:rsid w:val="0040705B"/>
    <w:rsid w:val="004076C8"/>
    <w:rsid w:val="0041004D"/>
    <w:rsid w:val="00411284"/>
    <w:rsid w:val="00411506"/>
    <w:rsid w:val="00411800"/>
    <w:rsid w:val="00412961"/>
    <w:rsid w:val="00414F76"/>
    <w:rsid w:val="00415435"/>
    <w:rsid w:val="00415A2E"/>
    <w:rsid w:val="00415B96"/>
    <w:rsid w:val="00416A03"/>
    <w:rsid w:val="004203CF"/>
    <w:rsid w:val="004207E3"/>
    <w:rsid w:val="00421616"/>
    <w:rsid w:val="00421693"/>
    <w:rsid w:val="004216BB"/>
    <w:rsid w:val="00421A4C"/>
    <w:rsid w:val="004238C2"/>
    <w:rsid w:val="00424F8D"/>
    <w:rsid w:val="00426D93"/>
    <w:rsid w:val="0042BC15"/>
    <w:rsid w:val="00430E60"/>
    <w:rsid w:val="00431ABE"/>
    <w:rsid w:val="004353B6"/>
    <w:rsid w:val="00435B5D"/>
    <w:rsid w:val="004363F7"/>
    <w:rsid w:val="00436E00"/>
    <w:rsid w:val="00441641"/>
    <w:rsid w:val="0044256D"/>
    <w:rsid w:val="0044381D"/>
    <w:rsid w:val="00443DB4"/>
    <w:rsid w:val="0044525C"/>
    <w:rsid w:val="00446DD3"/>
    <w:rsid w:val="00450551"/>
    <w:rsid w:val="0045177F"/>
    <w:rsid w:val="00451AF5"/>
    <w:rsid w:val="00451B41"/>
    <w:rsid w:val="004521D4"/>
    <w:rsid w:val="00453C51"/>
    <w:rsid w:val="00454C53"/>
    <w:rsid w:val="004553F1"/>
    <w:rsid w:val="0045577C"/>
    <w:rsid w:val="00456704"/>
    <w:rsid w:val="004578EC"/>
    <w:rsid w:val="004603B7"/>
    <w:rsid w:val="004619ED"/>
    <w:rsid w:val="00463154"/>
    <w:rsid w:val="004637AB"/>
    <w:rsid w:val="00471C1F"/>
    <w:rsid w:val="004723A2"/>
    <w:rsid w:val="00474CB0"/>
    <w:rsid w:val="00475C52"/>
    <w:rsid w:val="0047693E"/>
    <w:rsid w:val="004809FA"/>
    <w:rsid w:val="004869D1"/>
    <w:rsid w:val="004877B2"/>
    <w:rsid w:val="0049130D"/>
    <w:rsid w:val="00492D54"/>
    <w:rsid w:val="00495C74"/>
    <w:rsid w:val="00496CD2"/>
    <w:rsid w:val="004A0B44"/>
    <w:rsid w:val="004A2057"/>
    <w:rsid w:val="004A34A5"/>
    <w:rsid w:val="004A3A06"/>
    <w:rsid w:val="004A4B1A"/>
    <w:rsid w:val="004A53EB"/>
    <w:rsid w:val="004A6215"/>
    <w:rsid w:val="004A789C"/>
    <w:rsid w:val="004B4638"/>
    <w:rsid w:val="004B5D5E"/>
    <w:rsid w:val="004B7086"/>
    <w:rsid w:val="004C08AE"/>
    <w:rsid w:val="004C29CF"/>
    <w:rsid w:val="004C2D09"/>
    <w:rsid w:val="004C4A75"/>
    <w:rsid w:val="004C540F"/>
    <w:rsid w:val="004C7575"/>
    <w:rsid w:val="004C7F4D"/>
    <w:rsid w:val="004D06AF"/>
    <w:rsid w:val="004D09ED"/>
    <w:rsid w:val="004D1121"/>
    <w:rsid w:val="004D11B8"/>
    <w:rsid w:val="004D26A8"/>
    <w:rsid w:val="004D2DA0"/>
    <w:rsid w:val="004D608D"/>
    <w:rsid w:val="004D6494"/>
    <w:rsid w:val="004D74A7"/>
    <w:rsid w:val="004D7955"/>
    <w:rsid w:val="004E14A4"/>
    <w:rsid w:val="004E2AB5"/>
    <w:rsid w:val="004E5E41"/>
    <w:rsid w:val="004E7B32"/>
    <w:rsid w:val="004F0AD0"/>
    <w:rsid w:val="004F1A72"/>
    <w:rsid w:val="004F1F1A"/>
    <w:rsid w:val="004F4243"/>
    <w:rsid w:val="004F54BD"/>
    <w:rsid w:val="004F56C5"/>
    <w:rsid w:val="004F65D5"/>
    <w:rsid w:val="00502378"/>
    <w:rsid w:val="00503769"/>
    <w:rsid w:val="00506185"/>
    <w:rsid w:val="005065AB"/>
    <w:rsid w:val="005127C4"/>
    <w:rsid w:val="00512A7D"/>
    <w:rsid w:val="00512C7A"/>
    <w:rsid w:val="005155F3"/>
    <w:rsid w:val="00516728"/>
    <w:rsid w:val="00516E5C"/>
    <w:rsid w:val="005172BE"/>
    <w:rsid w:val="00524971"/>
    <w:rsid w:val="00527FD3"/>
    <w:rsid w:val="00530EC1"/>
    <w:rsid w:val="005332D0"/>
    <w:rsid w:val="005353F4"/>
    <w:rsid w:val="00535464"/>
    <w:rsid w:val="005354D0"/>
    <w:rsid w:val="005363AF"/>
    <w:rsid w:val="0054172C"/>
    <w:rsid w:val="00543FD8"/>
    <w:rsid w:val="0054590F"/>
    <w:rsid w:val="005459EC"/>
    <w:rsid w:val="005514A1"/>
    <w:rsid w:val="005537B0"/>
    <w:rsid w:val="00556C2B"/>
    <w:rsid w:val="005570C8"/>
    <w:rsid w:val="005609C7"/>
    <w:rsid w:val="00563EA4"/>
    <w:rsid w:val="005648F8"/>
    <w:rsid w:val="0056598A"/>
    <w:rsid w:val="00566741"/>
    <w:rsid w:val="005669CC"/>
    <w:rsid w:val="005718B5"/>
    <w:rsid w:val="00572CE9"/>
    <w:rsid w:val="00572F89"/>
    <w:rsid w:val="005740DF"/>
    <w:rsid w:val="00576FD1"/>
    <w:rsid w:val="005773E3"/>
    <w:rsid w:val="00577A5D"/>
    <w:rsid w:val="005808FB"/>
    <w:rsid w:val="005809CA"/>
    <w:rsid w:val="005811F8"/>
    <w:rsid w:val="00582605"/>
    <w:rsid w:val="0058681B"/>
    <w:rsid w:val="005900C6"/>
    <w:rsid w:val="00591016"/>
    <w:rsid w:val="005A02AE"/>
    <w:rsid w:val="005A19C2"/>
    <w:rsid w:val="005A2714"/>
    <w:rsid w:val="005A379C"/>
    <w:rsid w:val="005A6DBC"/>
    <w:rsid w:val="005A7706"/>
    <w:rsid w:val="005B28F6"/>
    <w:rsid w:val="005B3F67"/>
    <w:rsid w:val="005B52B9"/>
    <w:rsid w:val="005B53AF"/>
    <w:rsid w:val="005B56E1"/>
    <w:rsid w:val="005C471B"/>
    <w:rsid w:val="005C6AD6"/>
    <w:rsid w:val="005C7111"/>
    <w:rsid w:val="005D2167"/>
    <w:rsid w:val="005D3D5D"/>
    <w:rsid w:val="005D3FA2"/>
    <w:rsid w:val="005D433A"/>
    <w:rsid w:val="005D43F5"/>
    <w:rsid w:val="005D548F"/>
    <w:rsid w:val="005D6EF5"/>
    <w:rsid w:val="005E14A1"/>
    <w:rsid w:val="005E25A6"/>
    <w:rsid w:val="005E25BB"/>
    <w:rsid w:val="005E2F51"/>
    <w:rsid w:val="005E3A10"/>
    <w:rsid w:val="005E4178"/>
    <w:rsid w:val="005E4A0C"/>
    <w:rsid w:val="005E5638"/>
    <w:rsid w:val="005E69C7"/>
    <w:rsid w:val="005E7509"/>
    <w:rsid w:val="005F1F43"/>
    <w:rsid w:val="005F2939"/>
    <w:rsid w:val="005F2B75"/>
    <w:rsid w:val="005F2BA3"/>
    <w:rsid w:val="005F3063"/>
    <w:rsid w:val="005F44FF"/>
    <w:rsid w:val="005F640D"/>
    <w:rsid w:val="005F7A39"/>
    <w:rsid w:val="00600CA1"/>
    <w:rsid w:val="00601D7F"/>
    <w:rsid w:val="006029EB"/>
    <w:rsid w:val="00605A4C"/>
    <w:rsid w:val="006063D9"/>
    <w:rsid w:val="006064A6"/>
    <w:rsid w:val="00606CDA"/>
    <w:rsid w:val="00606EBA"/>
    <w:rsid w:val="00607D9A"/>
    <w:rsid w:val="006105FB"/>
    <w:rsid w:val="0061119B"/>
    <w:rsid w:val="00615417"/>
    <w:rsid w:val="006165B8"/>
    <w:rsid w:val="006166C2"/>
    <w:rsid w:val="00617F4B"/>
    <w:rsid w:val="00622580"/>
    <w:rsid w:val="0062645D"/>
    <w:rsid w:val="00627FDF"/>
    <w:rsid w:val="00630D6E"/>
    <w:rsid w:val="00632328"/>
    <w:rsid w:val="006323A4"/>
    <w:rsid w:val="006334D9"/>
    <w:rsid w:val="00633562"/>
    <w:rsid w:val="006344B1"/>
    <w:rsid w:val="00635C4E"/>
    <w:rsid w:val="00645B8B"/>
    <w:rsid w:val="006462A6"/>
    <w:rsid w:val="00646CFD"/>
    <w:rsid w:val="00646DB8"/>
    <w:rsid w:val="00647EF3"/>
    <w:rsid w:val="0065073B"/>
    <w:rsid w:val="0065214B"/>
    <w:rsid w:val="00652A02"/>
    <w:rsid w:val="00655044"/>
    <w:rsid w:val="00656017"/>
    <w:rsid w:val="00656A75"/>
    <w:rsid w:val="00661651"/>
    <w:rsid w:val="00661AE6"/>
    <w:rsid w:val="00661ED1"/>
    <w:rsid w:val="00665ECE"/>
    <w:rsid w:val="00666922"/>
    <w:rsid w:val="00667A81"/>
    <w:rsid w:val="00670F17"/>
    <w:rsid w:val="006710C7"/>
    <w:rsid w:val="00673ECA"/>
    <w:rsid w:val="0067637B"/>
    <w:rsid w:val="00676570"/>
    <w:rsid w:val="006768AB"/>
    <w:rsid w:val="0068270E"/>
    <w:rsid w:val="00683586"/>
    <w:rsid w:val="006869FD"/>
    <w:rsid w:val="006871C0"/>
    <w:rsid w:val="00687651"/>
    <w:rsid w:val="00687EC0"/>
    <w:rsid w:val="006931CB"/>
    <w:rsid w:val="00693D85"/>
    <w:rsid w:val="00696A83"/>
    <w:rsid w:val="006A0439"/>
    <w:rsid w:val="006A0738"/>
    <w:rsid w:val="006A1BB4"/>
    <w:rsid w:val="006A2401"/>
    <w:rsid w:val="006A477A"/>
    <w:rsid w:val="006A6350"/>
    <w:rsid w:val="006A795E"/>
    <w:rsid w:val="006B5EFD"/>
    <w:rsid w:val="006B6C19"/>
    <w:rsid w:val="006B70DC"/>
    <w:rsid w:val="006C2B2F"/>
    <w:rsid w:val="006C52E0"/>
    <w:rsid w:val="006C5677"/>
    <w:rsid w:val="006C580A"/>
    <w:rsid w:val="006D1E69"/>
    <w:rsid w:val="006D22B3"/>
    <w:rsid w:val="006D266A"/>
    <w:rsid w:val="006D3ABA"/>
    <w:rsid w:val="006D475A"/>
    <w:rsid w:val="006D4B09"/>
    <w:rsid w:val="006D65F7"/>
    <w:rsid w:val="006D6708"/>
    <w:rsid w:val="006D68A1"/>
    <w:rsid w:val="006E0000"/>
    <w:rsid w:val="006E0067"/>
    <w:rsid w:val="006E20CA"/>
    <w:rsid w:val="006E4751"/>
    <w:rsid w:val="006E664D"/>
    <w:rsid w:val="006E79EA"/>
    <w:rsid w:val="006F057C"/>
    <w:rsid w:val="006F1BEE"/>
    <w:rsid w:val="006F22DA"/>
    <w:rsid w:val="006F2EB3"/>
    <w:rsid w:val="006F3E47"/>
    <w:rsid w:val="006F62D9"/>
    <w:rsid w:val="00706480"/>
    <w:rsid w:val="00706D6B"/>
    <w:rsid w:val="007116B1"/>
    <w:rsid w:val="00714BEE"/>
    <w:rsid w:val="007176F2"/>
    <w:rsid w:val="0072024A"/>
    <w:rsid w:val="00721215"/>
    <w:rsid w:val="0072196F"/>
    <w:rsid w:val="007227EB"/>
    <w:rsid w:val="007236D5"/>
    <w:rsid w:val="00724A15"/>
    <w:rsid w:val="00724A91"/>
    <w:rsid w:val="00724CC5"/>
    <w:rsid w:val="0072634B"/>
    <w:rsid w:val="0072645C"/>
    <w:rsid w:val="00726597"/>
    <w:rsid w:val="007269CD"/>
    <w:rsid w:val="00727A9D"/>
    <w:rsid w:val="00727B69"/>
    <w:rsid w:val="00731850"/>
    <w:rsid w:val="00732DE6"/>
    <w:rsid w:val="00736BCA"/>
    <w:rsid w:val="00737A2B"/>
    <w:rsid w:val="007400CF"/>
    <w:rsid w:val="00741CE2"/>
    <w:rsid w:val="00746095"/>
    <w:rsid w:val="007516EF"/>
    <w:rsid w:val="0075590F"/>
    <w:rsid w:val="007602EA"/>
    <w:rsid w:val="00760A15"/>
    <w:rsid w:val="00762CEB"/>
    <w:rsid w:val="00764043"/>
    <w:rsid w:val="007651C2"/>
    <w:rsid w:val="00766682"/>
    <w:rsid w:val="00767ABE"/>
    <w:rsid w:val="00767DA3"/>
    <w:rsid w:val="00772AAF"/>
    <w:rsid w:val="00772EFA"/>
    <w:rsid w:val="00774E8F"/>
    <w:rsid w:val="00774EF7"/>
    <w:rsid w:val="007762BC"/>
    <w:rsid w:val="00776460"/>
    <w:rsid w:val="00776A8C"/>
    <w:rsid w:val="00780D1F"/>
    <w:rsid w:val="00782E71"/>
    <w:rsid w:val="00786C75"/>
    <w:rsid w:val="00790875"/>
    <w:rsid w:val="007915FB"/>
    <w:rsid w:val="00793B8E"/>
    <w:rsid w:val="00794880"/>
    <w:rsid w:val="00795315"/>
    <w:rsid w:val="0079741C"/>
    <w:rsid w:val="007A0AA6"/>
    <w:rsid w:val="007A1902"/>
    <w:rsid w:val="007A35B0"/>
    <w:rsid w:val="007A42A6"/>
    <w:rsid w:val="007A57E5"/>
    <w:rsid w:val="007A5E5E"/>
    <w:rsid w:val="007B1061"/>
    <w:rsid w:val="007B1D66"/>
    <w:rsid w:val="007B23FC"/>
    <w:rsid w:val="007B25AD"/>
    <w:rsid w:val="007B36F2"/>
    <w:rsid w:val="007B4771"/>
    <w:rsid w:val="007C5D16"/>
    <w:rsid w:val="007C6477"/>
    <w:rsid w:val="007C7392"/>
    <w:rsid w:val="007C7B9F"/>
    <w:rsid w:val="007D0C1D"/>
    <w:rsid w:val="007D180D"/>
    <w:rsid w:val="007D1FCA"/>
    <w:rsid w:val="007D2000"/>
    <w:rsid w:val="007D4DBF"/>
    <w:rsid w:val="007D579B"/>
    <w:rsid w:val="007D5F79"/>
    <w:rsid w:val="007D6069"/>
    <w:rsid w:val="007D7493"/>
    <w:rsid w:val="007E1432"/>
    <w:rsid w:val="007E3AE5"/>
    <w:rsid w:val="007E4732"/>
    <w:rsid w:val="007E4BA4"/>
    <w:rsid w:val="007E583B"/>
    <w:rsid w:val="007E6EAD"/>
    <w:rsid w:val="007F004E"/>
    <w:rsid w:val="007F03A4"/>
    <w:rsid w:val="007F0E96"/>
    <w:rsid w:val="007F14AB"/>
    <w:rsid w:val="007F335A"/>
    <w:rsid w:val="007F5D46"/>
    <w:rsid w:val="007F69B0"/>
    <w:rsid w:val="007F72A2"/>
    <w:rsid w:val="008004D2"/>
    <w:rsid w:val="00801CE8"/>
    <w:rsid w:val="00803104"/>
    <w:rsid w:val="00803387"/>
    <w:rsid w:val="0081223D"/>
    <w:rsid w:val="00812615"/>
    <w:rsid w:val="00812901"/>
    <w:rsid w:val="008137A8"/>
    <w:rsid w:val="00813986"/>
    <w:rsid w:val="0081561F"/>
    <w:rsid w:val="008200AE"/>
    <w:rsid w:val="00822C75"/>
    <w:rsid w:val="00825D0A"/>
    <w:rsid w:val="00826B9A"/>
    <w:rsid w:val="008303FB"/>
    <w:rsid w:val="00840D83"/>
    <w:rsid w:val="00840F3E"/>
    <w:rsid w:val="00842757"/>
    <w:rsid w:val="00843CC2"/>
    <w:rsid w:val="008453B2"/>
    <w:rsid w:val="0084544B"/>
    <w:rsid w:val="00845C6D"/>
    <w:rsid w:val="0084607B"/>
    <w:rsid w:val="00846574"/>
    <w:rsid w:val="00847B84"/>
    <w:rsid w:val="008502F9"/>
    <w:rsid w:val="0085208E"/>
    <w:rsid w:val="0085266D"/>
    <w:rsid w:val="008534BE"/>
    <w:rsid w:val="008540E5"/>
    <w:rsid w:val="00854166"/>
    <w:rsid w:val="008542DB"/>
    <w:rsid w:val="00854A6F"/>
    <w:rsid w:val="00854BB9"/>
    <w:rsid w:val="00855437"/>
    <w:rsid w:val="00857FFE"/>
    <w:rsid w:val="00860C27"/>
    <w:rsid w:val="00862138"/>
    <w:rsid w:val="00863F48"/>
    <w:rsid w:val="0086557F"/>
    <w:rsid w:val="00867381"/>
    <w:rsid w:val="008719E7"/>
    <w:rsid w:val="00875A5D"/>
    <w:rsid w:val="008760FB"/>
    <w:rsid w:val="00876DBC"/>
    <w:rsid w:val="00876F36"/>
    <w:rsid w:val="008820EE"/>
    <w:rsid w:val="00883B17"/>
    <w:rsid w:val="00884F3B"/>
    <w:rsid w:val="0088546C"/>
    <w:rsid w:val="00885E7B"/>
    <w:rsid w:val="00895B29"/>
    <w:rsid w:val="008969EB"/>
    <w:rsid w:val="0089797B"/>
    <w:rsid w:val="008A1B1A"/>
    <w:rsid w:val="008A1CE8"/>
    <w:rsid w:val="008A2452"/>
    <w:rsid w:val="008A305D"/>
    <w:rsid w:val="008A504C"/>
    <w:rsid w:val="008A5AA0"/>
    <w:rsid w:val="008B0581"/>
    <w:rsid w:val="008B3CF8"/>
    <w:rsid w:val="008C30A2"/>
    <w:rsid w:val="008C4049"/>
    <w:rsid w:val="008C62F9"/>
    <w:rsid w:val="008D062F"/>
    <w:rsid w:val="008D081B"/>
    <w:rsid w:val="008D0C91"/>
    <w:rsid w:val="008D14E8"/>
    <w:rsid w:val="008D21E7"/>
    <w:rsid w:val="008D2EC1"/>
    <w:rsid w:val="008D3DF4"/>
    <w:rsid w:val="008E122D"/>
    <w:rsid w:val="008E224D"/>
    <w:rsid w:val="008E2F86"/>
    <w:rsid w:val="008E4713"/>
    <w:rsid w:val="008E4C62"/>
    <w:rsid w:val="008E5329"/>
    <w:rsid w:val="008F04D6"/>
    <w:rsid w:val="008F4B47"/>
    <w:rsid w:val="008F4C13"/>
    <w:rsid w:val="008F6C63"/>
    <w:rsid w:val="00901ADE"/>
    <w:rsid w:val="00901BDE"/>
    <w:rsid w:val="00902BFB"/>
    <w:rsid w:val="00906349"/>
    <w:rsid w:val="009144C7"/>
    <w:rsid w:val="00916D17"/>
    <w:rsid w:val="00916FA3"/>
    <w:rsid w:val="009219C2"/>
    <w:rsid w:val="009221C1"/>
    <w:rsid w:val="00922317"/>
    <w:rsid w:val="00923E35"/>
    <w:rsid w:val="00924AB0"/>
    <w:rsid w:val="0092530B"/>
    <w:rsid w:val="00925D1A"/>
    <w:rsid w:val="00927C91"/>
    <w:rsid w:val="00931068"/>
    <w:rsid w:val="00931CB9"/>
    <w:rsid w:val="009341A6"/>
    <w:rsid w:val="00935FE4"/>
    <w:rsid w:val="0093637C"/>
    <w:rsid w:val="0094208C"/>
    <w:rsid w:val="00942F17"/>
    <w:rsid w:val="00943236"/>
    <w:rsid w:val="0094490A"/>
    <w:rsid w:val="0094666D"/>
    <w:rsid w:val="00952CEF"/>
    <w:rsid w:val="0095523C"/>
    <w:rsid w:val="00955421"/>
    <w:rsid w:val="009556EC"/>
    <w:rsid w:val="009564DE"/>
    <w:rsid w:val="00957F03"/>
    <w:rsid w:val="0096410F"/>
    <w:rsid w:val="00967F1F"/>
    <w:rsid w:val="00971D25"/>
    <w:rsid w:val="00973267"/>
    <w:rsid w:val="00974E0E"/>
    <w:rsid w:val="009802A5"/>
    <w:rsid w:val="009802CF"/>
    <w:rsid w:val="00980E78"/>
    <w:rsid w:val="00981778"/>
    <w:rsid w:val="009817F4"/>
    <w:rsid w:val="00981E2C"/>
    <w:rsid w:val="00982320"/>
    <w:rsid w:val="00986B6D"/>
    <w:rsid w:val="00990216"/>
    <w:rsid w:val="00990356"/>
    <w:rsid w:val="00990371"/>
    <w:rsid w:val="00990E9C"/>
    <w:rsid w:val="0099210F"/>
    <w:rsid w:val="00994542"/>
    <w:rsid w:val="00994908"/>
    <w:rsid w:val="0099495D"/>
    <w:rsid w:val="00997532"/>
    <w:rsid w:val="009A1360"/>
    <w:rsid w:val="009A28B8"/>
    <w:rsid w:val="009B160B"/>
    <w:rsid w:val="009B43EC"/>
    <w:rsid w:val="009B4D7C"/>
    <w:rsid w:val="009B5C7A"/>
    <w:rsid w:val="009C237B"/>
    <w:rsid w:val="009C3646"/>
    <w:rsid w:val="009C4DD1"/>
    <w:rsid w:val="009D047A"/>
    <w:rsid w:val="009D206F"/>
    <w:rsid w:val="009D2CC7"/>
    <w:rsid w:val="009D44E3"/>
    <w:rsid w:val="009D4544"/>
    <w:rsid w:val="009D4AD0"/>
    <w:rsid w:val="009D6683"/>
    <w:rsid w:val="009D6ACF"/>
    <w:rsid w:val="009E33C9"/>
    <w:rsid w:val="009E3700"/>
    <w:rsid w:val="009E5A93"/>
    <w:rsid w:val="009F1810"/>
    <w:rsid w:val="009F28B7"/>
    <w:rsid w:val="009F3154"/>
    <w:rsid w:val="009F39DF"/>
    <w:rsid w:val="009F41B5"/>
    <w:rsid w:val="009F41DB"/>
    <w:rsid w:val="009F6D4D"/>
    <w:rsid w:val="00A0071F"/>
    <w:rsid w:val="00A012CE"/>
    <w:rsid w:val="00A05516"/>
    <w:rsid w:val="00A1018D"/>
    <w:rsid w:val="00A101CF"/>
    <w:rsid w:val="00A1211C"/>
    <w:rsid w:val="00A13032"/>
    <w:rsid w:val="00A14899"/>
    <w:rsid w:val="00A164A1"/>
    <w:rsid w:val="00A16E71"/>
    <w:rsid w:val="00A20113"/>
    <w:rsid w:val="00A20D78"/>
    <w:rsid w:val="00A22067"/>
    <w:rsid w:val="00A2215F"/>
    <w:rsid w:val="00A22839"/>
    <w:rsid w:val="00A2299F"/>
    <w:rsid w:val="00A22DBA"/>
    <w:rsid w:val="00A23E19"/>
    <w:rsid w:val="00A24AD6"/>
    <w:rsid w:val="00A25EFA"/>
    <w:rsid w:val="00A264A6"/>
    <w:rsid w:val="00A31250"/>
    <w:rsid w:val="00A317C8"/>
    <w:rsid w:val="00A32819"/>
    <w:rsid w:val="00A33185"/>
    <w:rsid w:val="00A331FC"/>
    <w:rsid w:val="00A348AD"/>
    <w:rsid w:val="00A40487"/>
    <w:rsid w:val="00A45064"/>
    <w:rsid w:val="00A4791E"/>
    <w:rsid w:val="00A47E02"/>
    <w:rsid w:val="00A52FD5"/>
    <w:rsid w:val="00A53B04"/>
    <w:rsid w:val="00A551D3"/>
    <w:rsid w:val="00A56B91"/>
    <w:rsid w:val="00A62827"/>
    <w:rsid w:val="00A637DF"/>
    <w:rsid w:val="00A645EB"/>
    <w:rsid w:val="00A65F51"/>
    <w:rsid w:val="00A661F4"/>
    <w:rsid w:val="00A66326"/>
    <w:rsid w:val="00A7271A"/>
    <w:rsid w:val="00A728BA"/>
    <w:rsid w:val="00A7352F"/>
    <w:rsid w:val="00A74D79"/>
    <w:rsid w:val="00A75CC9"/>
    <w:rsid w:val="00A804F3"/>
    <w:rsid w:val="00A81E19"/>
    <w:rsid w:val="00A81F8E"/>
    <w:rsid w:val="00A827A9"/>
    <w:rsid w:val="00A8336A"/>
    <w:rsid w:val="00A836E9"/>
    <w:rsid w:val="00A878CE"/>
    <w:rsid w:val="00A92B02"/>
    <w:rsid w:val="00A94286"/>
    <w:rsid w:val="00A94D14"/>
    <w:rsid w:val="00A956B6"/>
    <w:rsid w:val="00A97040"/>
    <w:rsid w:val="00A9723B"/>
    <w:rsid w:val="00A9776E"/>
    <w:rsid w:val="00A97D73"/>
    <w:rsid w:val="00AA08E5"/>
    <w:rsid w:val="00AA0907"/>
    <w:rsid w:val="00AA0CA1"/>
    <w:rsid w:val="00AA1440"/>
    <w:rsid w:val="00AA1A9D"/>
    <w:rsid w:val="00AA2C20"/>
    <w:rsid w:val="00AA36D9"/>
    <w:rsid w:val="00AA3CD9"/>
    <w:rsid w:val="00AA4625"/>
    <w:rsid w:val="00AA575D"/>
    <w:rsid w:val="00AA5C52"/>
    <w:rsid w:val="00AA66D6"/>
    <w:rsid w:val="00AB0CCA"/>
    <w:rsid w:val="00AB2E51"/>
    <w:rsid w:val="00AB593F"/>
    <w:rsid w:val="00AB65AB"/>
    <w:rsid w:val="00AB795F"/>
    <w:rsid w:val="00AC1F0B"/>
    <w:rsid w:val="00AC3DF4"/>
    <w:rsid w:val="00AC4038"/>
    <w:rsid w:val="00AC4658"/>
    <w:rsid w:val="00AC474D"/>
    <w:rsid w:val="00AC47CA"/>
    <w:rsid w:val="00AC481F"/>
    <w:rsid w:val="00AC6312"/>
    <w:rsid w:val="00AD16B5"/>
    <w:rsid w:val="00AD1E77"/>
    <w:rsid w:val="00AD6061"/>
    <w:rsid w:val="00AD6D80"/>
    <w:rsid w:val="00AE08A1"/>
    <w:rsid w:val="00AE359A"/>
    <w:rsid w:val="00AE534F"/>
    <w:rsid w:val="00AE6A4B"/>
    <w:rsid w:val="00AF0279"/>
    <w:rsid w:val="00AF08F9"/>
    <w:rsid w:val="00AF14E1"/>
    <w:rsid w:val="00AF1E7E"/>
    <w:rsid w:val="00AF31F5"/>
    <w:rsid w:val="00AF5464"/>
    <w:rsid w:val="00AF7A5F"/>
    <w:rsid w:val="00B008A4"/>
    <w:rsid w:val="00B00B99"/>
    <w:rsid w:val="00B02846"/>
    <w:rsid w:val="00B03A05"/>
    <w:rsid w:val="00B04020"/>
    <w:rsid w:val="00B1160D"/>
    <w:rsid w:val="00B11795"/>
    <w:rsid w:val="00B121AE"/>
    <w:rsid w:val="00B12649"/>
    <w:rsid w:val="00B13920"/>
    <w:rsid w:val="00B139FB"/>
    <w:rsid w:val="00B1540E"/>
    <w:rsid w:val="00B21114"/>
    <w:rsid w:val="00B23F48"/>
    <w:rsid w:val="00B271C0"/>
    <w:rsid w:val="00B33B88"/>
    <w:rsid w:val="00B33C32"/>
    <w:rsid w:val="00B34EA5"/>
    <w:rsid w:val="00B3752A"/>
    <w:rsid w:val="00B4086A"/>
    <w:rsid w:val="00B43679"/>
    <w:rsid w:val="00B43F31"/>
    <w:rsid w:val="00B444E6"/>
    <w:rsid w:val="00B45CEA"/>
    <w:rsid w:val="00B462AD"/>
    <w:rsid w:val="00B46F37"/>
    <w:rsid w:val="00B52011"/>
    <w:rsid w:val="00B53EFF"/>
    <w:rsid w:val="00B54AFA"/>
    <w:rsid w:val="00B56070"/>
    <w:rsid w:val="00B561D5"/>
    <w:rsid w:val="00B56FA4"/>
    <w:rsid w:val="00B573C8"/>
    <w:rsid w:val="00B57590"/>
    <w:rsid w:val="00B667FD"/>
    <w:rsid w:val="00B671A4"/>
    <w:rsid w:val="00B7085C"/>
    <w:rsid w:val="00B71245"/>
    <w:rsid w:val="00B715EE"/>
    <w:rsid w:val="00B71CCA"/>
    <w:rsid w:val="00B7374F"/>
    <w:rsid w:val="00B75154"/>
    <w:rsid w:val="00B75D0A"/>
    <w:rsid w:val="00B804E8"/>
    <w:rsid w:val="00B81906"/>
    <w:rsid w:val="00B82E30"/>
    <w:rsid w:val="00B83F75"/>
    <w:rsid w:val="00B841EF"/>
    <w:rsid w:val="00B85CD6"/>
    <w:rsid w:val="00B87036"/>
    <w:rsid w:val="00B90704"/>
    <w:rsid w:val="00B933D8"/>
    <w:rsid w:val="00B958CE"/>
    <w:rsid w:val="00B95BD8"/>
    <w:rsid w:val="00B9617A"/>
    <w:rsid w:val="00B9618A"/>
    <w:rsid w:val="00B9750F"/>
    <w:rsid w:val="00BA1017"/>
    <w:rsid w:val="00BA168D"/>
    <w:rsid w:val="00BA1BD3"/>
    <w:rsid w:val="00BA1FA8"/>
    <w:rsid w:val="00BA3CA5"/>
    <w:rsid w:val="00BA5190"/>
    <w:rsid w:val="00BA6B87"/>
    <w:rsid w:val="00BA78F9"/>
    <w:rsid w:val="00BC1A62"/>
    <w:rsid w:val="00BC1B10"/>
    <w:rsid w:val="00BC206C"/>
    <w:rsid w:val="00BC3FE2"/>
    <w:rsid w:val="00BC406C"/>
    <w:rsid w:val="00BC431A"/>
    <w:rsid w:val="00BC5033"/>
    <w:rsid w:val="00BD2485"/>
    <w:rsid w:val="00BD2A2A"/>
    <w:rsid w:val="00BD74E1"/>
    <w:rsid w:val="00BD7F06"/>
    <w:rsid w:val="00BE0627"/>
    <w:rsid w:val="00BE5A7C"/>
    <w:rsid w:val="00BE7ED3"/>
    <w:rsid w:val="00BF26C8"/>
    <w:rsid w:val="00BF2C5B"/>
    <w:rsid w:val="00BF2CC3"/>
    <w:rsid w:val="00BF31CF"/>
    <w:rsid w:val="00BF3F5E"/>
    <w:rsid w:val="00BF45D2"/>
    <w:rsid w:val="00BF4615"/>
    <w:rsid w:val="00BF577F"/>
    <w:rsid w:val="00BF5AFA"/>
    <w:rsid w:val="00BF6E1D"/>
    <w:rsid w:val="00C0024E"/>
    <w:rsid w:val="00C01A35"/>
    <w:rsid w:val="00C01D78"/>
    <w:rsid w:val="00C03772"/>
    <w:rsid w:val="00C04EDA"/>
    <w:rsid w:val="00C05CFB"/>
    <w:rsid w:val="00C06507"/>
    <w:rsid w:val="00C07C53"/>
    <w:rsid w:val="00C10C6C"/>
    <w:rsid w:val="00C112B1"/>
    <w:rsid w:val="00C119A2"/>
    <w:rsid w:val="00C13388"/>
    <w:rsid w:val="00C14ED8"/>
    <w:rsid w:val="00C17006"/>
    <w:rsid w:val="00C171D4"/>
    <w:rsid w:val="00C20A66"/>
    <w:rsid w:val="00C22373"/>
    <w:rsid w:val="00C22A40"/>
    <w:rsid w:val="00C22CC7"/>
    <w:rsid w:val="00C306A1"/>
    <w:rsid w:val="00C3620A"/>
    <w:rsid w:val="00C444E1"/>
    <w:rsid w:val="00C46AB0"/>
    <w:rsid w:val="00C46C80"/>
    <w:rsid w:val="00C51FA6"/>
    <w:rsid w:val="00C53F1A"/>
    <w:rsid w:val="00C55094"/>
    <w:rsid w:val="00C55A46"/>
    <w:rsid w:val="00C56451"/>
    <w:rsid w:val="00C56844"/>
    <w:rsid w:val="00C57267"/>
    <w:rsid w:val="00C57E90"/>
    <w:rsid w:val="00C606A7"/>
    <w:rsid w:val="00C616FF"/>
    <w:rsid w:val="00C6216F"/>
    <w:rsid w:val="00C62B63"/>
    <w:rsid w:val="00C6307A"/>
    <w:rsid w:val="00C71310"/>
    <w:rsid w:val="00C72B5B"/>
    <w:rsid w:val="00C73D20"/>
    <w:rsid w:val="00C745CA"/>
    <w:rsid w:val="00C76B4E"/>
    <w:rsid w:val="00C7709C"/>
    <w:rsid w:val="00C77D74"/>
    <w:rsid w:val="00C81584"/>
    <w:rsid w:val="00C817E6"/>
    <w:rsid w:val="00C81D91"/>
    <w:rsid w:val="00C8347E"/>
    <w:rsid w:val="00C83851"/>
    <w:rsid w:val="00C869F3"/>
    <w:rsid w:val="00C87D63"/>
    <w:rsid w:val="00C91765"/>
    <w:rsid w:val="00C930C1"/>
    <w:rsid w:val="00C9418E"/>
    <w:rsid w:val="00C95EBE"/>
    <w:rsid w:val="00C97263"/>
    <w:rsid w:val="00C97B64"/>
    <w:rsid w:val="00CA0750"/>
    <w:rsid w:val="00CA2972"/>
    <w:rsid w:val="00CA579F"/>
    <w:rsid w:val="00CA7088"/>
    <w:rsid w:val="00CA78EC"/>
    <w:rsid w:val="00CB035F"/>
    <w:rsid w:val="00CB1CD4"/>
    <w:rsid w:val="00CB2754"/>
    <w:rsid w:val="00CB2FEE"/>
    <w:rsid w:val="00CB4B62"/>
    <w:rsid w:val="00CB60C8"/>
    <w:rsid w:val="00CB6621"/>
    <w:rsid w:val="00CB6E66"/>
    <w:rsid w:val="00CB79A8"/>
    <w:rsid w:val="00CC121F"/>
    <w:rsid w:val="00CC18AC"/>
    <w:rsid w:val="00CC3EA0"/>
    <w:rsid w:val="00CC45CC"/>
    <w:rsid w:val="00CC51AD"/>
    <w:rsid w:val="00CC77C9"/>
    <w:rsid w:val="00CCA9F3"/>
    <w:rsid w:val="00CD0505"/>
    <w:rsid w:val="00CD1F2E"/>
    <w:rsid w:val="00CD641B"/>
    <w:rsid w:val="00CD7B16"/>
    <w:rsid w:val="00CD7D5D"/>
    <w:rsid w:val="00CE3E17"/>
    <w:rsid w:val="00CE3E4F"/>
    <w:rsid w:val="00CE5583"/>
    <w:rsid w:val="00CE6C53"/>
    <w:rsid w:val="00CE7CFF"/>
    <w:rsid w:val="00CE7FC7"/>
    <w:rsid w:val="00CF0621"/>
    <w:rsid w:val="00CF0FC4"/>
    <w:rsid w:val="00CF24AD"/>
    <w:rsid w:val="00CF3914"/>
    <w:rsid w:val="00CF39CF"/>
    <w:rsid w:val="00CF45AB"/>
    <w:rsid w:val="00CF6400"/>
    <w:rsid w:val="00CF6932"/>
    <w:rsid w:val="00CF6E32"/>
    <w:rsid w:val="00D01E68"/>
    <w:rsid w:val="00D01FE3"/>
    <w:rsid w:val="00D02BA8"/>
    <w:rsid w:val="00D033C0"/>
    <w:rsid w:val="00D0381E"/>
    <w:rsid w:val="00D04E00"/>
    <w:rsid w:val="00D06CA3"/>
    <w:rsid w:val="00D07F46"/>
    <w:rsid w:val="00D170E5"/>
    <w:rsid w:val="00D171BF"/>
    <w:rsid w:val="00D21DBC"/>
    <w:rsid w:val="00D21F27"/>
    <w:rsid w:val="00D223B3"/>
    <w:rsid w:val="00D23A9B"/>
    <w:rsid w:val="00D24315"/>
    <w:rsid w:val="00D25DCE"/>
    <w:rsid w:val="00D266A0"/>
    <w:rsid w:val="00D26913"/>
    <w:rsid w:val="00D305B8"/>
    <w:rsid w:val="00D30CB1"/>
    <w:rsid w:val="00D31227"/>
    <w:rsid w:val="00D33676"/>
    <w:rsid w:val="00D34071"/>
    <w:rsid w:val="00D352C9"/>
    <w:rsid w:val="00D3781C"/>
    <w:rsid w:val="00D37F2F"/>
    <w:rsid w:val="00D415B9"/>
    <w:rsid w:val="00D429DC"/>
    <w:rsid w:val="00D43F46"/>
    <w:rsid w:val="00D45B82"/>
    <w:rsid w:val="00D47269"/>
    <w:rsid w:val="00D47841"/>
    <w:rsid w:val="00D51EB3"/>
    <w:rsid w:val="00D522BD"/>
    <w:rsid w:val="00D528E8"/>
    <w:rsid w:val="00D5310E"/>
    <w:rsid w:val="00D5564B"/>
    <w:rsid w:val="00D5569F"/>
    <w:rsid w:val="00D60C5E"/>
    <w:rsid w:val="00D70320"/>
    <w:rsid w:val="00D7108F"/>
    <w:rsid w:val="00D715D6"/>
    <w:rsid w:val="00D767A1"/>
    <w:rsid w:val="00D76DA8"/>
    <w:rsid w:val="00D771D0"/>
    <w:rsid w:val="00D77935"/>
    <w:rsid w:val="00D80855"/>
    <w:rsid w:val="00D816A5"/>
    <w:rsid w:val="00D81FB4"/>
    <w:rsid w:val="00D835CF"/>
    <w:rsid w:val="00D84038"/>
    <w:rsid w:val="00D866E2"/>
    <w:rsid w:val="00D90D7F"/>
    <w:rsid w:val="00D90F3F"/>
    <w:rsid w:val="00D9289F"/>
    <w:rsid w:val="00D93850"/>
    <w:rsid w:val="00D95599"/>
    <w:rsid w:val="00D9599D"/>
    <w:rsid w:val="00DA176F"/>
    <w:rsid w:val="00DA26FB"/>
    <w:rsid w:val="00DA2BCD"/>
    <w:rsid w:val="00DA36BE"/>
    <w:rsid w:val="00DA388F"/>
    <w:rsid w:val="00DA5F9F"/>
    <w:rsid w:val="00DA77BB"/>
    <w:rsid w:val="00DB02A6"/>
    <w:rsid w:val="00DB2057"/>
    <w:rsid w:val="00DB4011"/>
    <w:rsid w:val="00DB5382"/>
    <w:rsid w:val="00DB6C3D"/>
    <w:rsid w:val="00DC1820"/>
    <w:rsid w:val="00DC5ACF"/>
    <w:rsid w:val="00DC698B"/>
    <w:rsid w:val="00DC69E7"/>
    <w:rsid w:val="00DC745C"/>
    <w:rsid w:val="00DD15FE"/>
    <w:rsid w:val="00DD1643"/>
    <w:rsid w:val="00DD3573"/>
    <w:rsid w:val="00DD3D7F"/>
    <w:rsid w:val="00DD7468"/>
    <w:rsid w:val="00DE11B0"/>
    <w:rsid w:val="00DE25E9"/>
    <w:rsid w:val="00DE4B65"/>
    <w:rsid w:val="00DE5F03"/>
    <w:rsid w:val="00DE71D3"/>
    <w:rsid w:val="00DE72CF"/>
    <w:rsid w:val="00DE7560"/>
    <w:rsid w:val="00DF08A0"/>
    <w:rsid w:val="00DF6AEA"/>
    <w:rsid w:val="00DF7114"/>
    <w:rsid w:val="00DF7AEE"/>
    <w:rsid w:val="00E00A46"/>
    <w:rsid w:val="00E02369"/>
    <w:rsid w:val="00E02396"/>
    <w:rsid w:val="00E03478"/>
    <w:rsid w:val="00E041CA"/>
    <w:rsid w:val="00E053F1"/>
    <w:rsid w:val="00E103E6"/>
    <w:rsid w:val="00E11BE7"/>
    <w:rsid w:val="00E1252C"/>
    <w:rsid w:val="00E13BEF"/>
    <w:rsid w:val="00E162EE"/>
    <w:rsid w:val="00E22325"/>
    <w:rsid w:val="00E228FF"/>
    <w:rsid w:val="00E22F0F"/>
    <w:rsid w:val="00E239CF"/>
    <w:rsid w:val="00E23BDA"/>
    <w:rsid w:val="00E25458"/>
    <w:rsid w:val="00E25D4E"/>
    <w:rsid w:val="00E33D13"/>
    <w:rsid w:val="00E33E5F"/>
    <w:rsid w:val="00E34337"/>
    <w:rsid w:val="00E352E2"/>
    <w:rsid w:val="00E37A2C"/>
    <w:rsid w:val="00E4541E"/>
    <w:rsid w:val="00E460FF"/>
    <w:rsid w:val="00E47778"/>
    <w:rsid w:val="00E47A63"/>
    <w:rsid w:val="00E50F6D"/>
    <w:rsid w:val="00E54CC8"/>
    <w:rsid w:val="00E55A36"/>
    <w:rsid w:val="00E56CB2"/>
    <w:rsid w:val="00E61C4F"/>
    <w:rsid w:val="00E61CE7"/>
    <w:rsid w:val="00E64F98"/>
    <w:rsid w:val="00E65CD6"/>
    <w:rsid w:val="00E678D8"/>
    <w:rsid w:val="00E70760"/>
    <w:rsid w:val="00E71334"/>
    <w:rsid w:val="00E72965"/>
    <w:rsid w:val="00E75ABD"/>
    <w:rsid w:val="00E8043B"/>
    <w:rsid w:val="00E821C1"/>
    <w:rsid w:val="00E82B88"/>
    <w:rsid w:val="00E83873"/>
    <w:rsid w:val="00E84ADC"/>
    <w:rsid w:val="00E870EC"/>
    <w:rsid w:val="00E8770C"/>
    <w:rsid w:val="00E9253C"/>
    <w:rsid w:val="00E92F5C"/>
    <w:rsid w:val="00E964C3"/>
    <w:rsid w:val="00EA1271"/>
    <w:rsid w:val="00EA3742"/>
    <w:rsid w:val="00EA3BCA"/>
    <w:rsid w:val="00EA5457"/>
    <w:rsid w:val="00EA5BB0"/>
    <w:rsid w:val="00EA7FB7"/>
    <w:rsid w:val="00EB241B"/>
    <w:rsid w:val="00EB369B"/>
    <w:rsid w:val="00EB3CF0"/>
    <w:rsid w:val="00EB45B5"/>
    <w:rsid w:val="00EB4634"/>
    <w:rsid w:val="00EB4CAE"/>
    <w:rsid w:val="00EB5B86"/>
    <w:rsid w:val="00EB5E57"/>
    <w:rsid w:val="00EB61DB"/>
    <w:rsid w:val="00EC183E"/>
    <w:rsid w:val="00EC4135"/>
    <w:rsid w:val="00EC5E15"/>
    <w:rsid w:val="00EC7A17"/>
    <w:rsid w:val="00EC7D5F"/>
    <w:rsid w:val="00ED05FA"/>
    <w:rsid w:val="00ED1AD0"/>
    <w:rsid w:val="00ED2494"/>
    <w:rsid w:val="00ED2DCD"/>
    <w:rsid w:val="00ED3E5D"/>
    <w:rsid w:val="00ED4AFD"/>
    <w:rsid w:val="00ED4BE3"/>
    <w:rsid w:val="00ED6776"/>
    <w:rsid w:val="00ED75FA"/>
    <w:rsid w:val="00ED7BB0"/>
    <w:rsid w:val="00EE13A5"/>
    <w:rsid w:val="00EE1CF6"/>
    <w:rsid w:val="00EE3BEE"/>
    <w:rsid w:val="00EE4FBE"/>
    <w:rsid w:val="00EE5629"/>
    <w:rsid w:val="00EF071B"/>
    <w:rsid w:val="00EF0B70"/>
    <w:rsid w:val="00EF3D58"/>
    <w:rsid w:val="00EF7371"/>
    <w:rsid w:val="00EF7B2B"/>
    <w:rsid w:val="00F00D99"/>
    <w:rsid w:val="00F038A1"/>
    <w:rsid w:val="00F03F0F"/>
    <w:rsid w:val="00F06E4E"/>
    <w:rsid w:val="00F0766F"/>
    <w:rsid w:val="00F07978"/>
    <w:rsid w:val="00F10371"/>
    <w:rsid w:val="00F12FD7"/>
    <w:rsid w:val="00F134EB"/>
    <w:rsid w:val="00F14B21"/>
    <w:rsid w:val="00F17B1A"/>
    <w:rsid w:val="00F20594"/>
    <w:rsid w:val="00F238E0"/>
    <w:rsid w:val="00F247EC"/>
    <w:rsid w:val="00F260F7"/>
    <w:rsid w:val="00F26D91"/>
    <w:rsid w:val="00F2720B"/>
    <w:rsid w:val="00F3192C"/>
    <w:rsid w:val="00F321E9"/>
    <w:rsid w:val="00F33A77"/>
    <w:rsid w:val="00F3469F"/>
    <w:rsid w:val="00F359F4"/>
    <w:rsid w:val="00F449CB"/>
    <w:rsid w:val="00F464C4"/>
    <w:rsid w:val="00F479AE"/>
    <w:rsid w:val="00F50B14"/>
    <w:rsid w:val="00F51E01"/>
    <w:rsid w:val="00F547B0"/>
    <w:rsid w:val="00F5649A"/>
    <w:rsid w:val="00F56CDD"/>
    <w:rsid w:val="00F60330"/>
    <w:rsid w:val="00F60B74"/>
    <w:rsid w:val="00F62965"/>
    <w:rsid w:val="00F67DC5"/>
    <w:rsid w:val="00F70354"/>
    <w:rsid w:val="00F71C0A"/>
    <w:rsid w:val="00F724AB"/>
    <w:rsid w:val="00F7468B"/>
    <w:rsid w:val="00F74E03"/>
    <w:rsid w:val="00F75BD6"/>
    <w:rsid w:val="00F77FF0"/>
    <w:rsid w:val="00F81764"/>
    <w:rsid w:val="00F82342"/>
    <w:rsid w:val="00F8531E"/>
    <w:rsid w:val="00F859B9"/>
    <w:rsid w:val="00F86132"/>
    <w:rsid w:val="00F86A27"/>
    <w:rsid w:val="00F877DB"/>
    <w:rsid w:val="00F87ED3"/>
    <w:rsid w:val="00F90252"/>
    <w:rsid w:val="00F91AE4"/>
    <w:rsid w:val="00F93C8B"/>
    <w:rsid w:val="00F954A5"/>
    <w:rsid w:val="00F959DD"/>
    <w:rsid w:val="00F960D5"/>
    <w:rsid w:val="00F96E5A"/>
    <w:rsid w:val="00F97E10"/>
    <w:rsid w:val="00FA0984"/>
    <w:rsid w:val="00FA1D28"/>
    <w:rsid w:val="00FA3BB5"/>
    <w:rsid w:val="00FA4077"/>
    <w:rsid w:val="00FA5695"/>
    <w:rsid w:val="00FA6978"/>
    <w:rsid w:val="00FA6F2F"/>
    <w:rsid w:val="00FB02BB"/>
    <w:rsid w:val="00FB02D5"/>
    <w:rsid w:val="00FB1231"/>
    <w:rsid w:val="00FB2276"/>
    <w:rsid w:val="00FB2BBA"/>
    <w:rsid w:val="00FB302D"/>
    <w:rsid w:val="00FB3AC0"/>
    <w:rsid w:val="00FB5C47"/>
    <w:rsid w:val="00FC08C8"/>
    <w:rsid w:val="00FC0FB5"/>
    <w:rsid w:val="00FC1C5C"/>
    <w:rsid w:val="00FC1F89"/>
    <w:rsid w:val="00FC2929"/>
    <w:rsid w:val="00FC29E5"/>
    <w:rsid w:val="00FC2C32"/>
    <w:rsid w:val="00FC354F"/>
    <w:rsid w:val="00FC4811"/>
    <w:rsid w:val="00FC4C1C"/>
    <w:rsid w:val="00FD11FE"/>
    <w:rsid w:val="00FD23AB"/>
    <w:rsid w:val="00FD5B46"/>
    <w:rsid w:val="00FD5F00"/>
    <w:rsid w:val="00FD6F32"/>
    <w:rsid w:val="00FE17E2"/>
    <w:rsid w:val="00FE2F7C"/>
    <w:rsid w:val="00FE3586"/>
    <w:rsid w:val="00FE3DDB"/>
    <w:rsid w:val="00FE4A3C"/>
    <w:rsid w:val="00FE7405"/>
    <w:rsid w:val="00FF237A"/>
    <w:rsid w:val="00FF2D94"/>
    <w:rsid w:val="00FF667C"/>
    <w:rsid w:val="00FF6E4B"/>
    <w:rsid w:val="00FF749C"/>
    <w:rsid w:val="0221527A"/>
    <w:rsid w:val="027C4EB2"/>
    <w:rsid w:val="02E9B4C2"/>
    <w:rsid w:val="03A1CBAE"/>
    <w:rsid w:val="03B7346A"/>
    <w:rsid w:val="0558F33C"/>
    <w:rsid w:val="0724BE6E"/>
    <w:rsid w:val="084F9EC5"/>
    <w:rsid w:val="08CCF6A1"/>
    <w:rsid w:val="0985F064"/>
    <w:rsid w:val="0A453076"/>
    <w:rsid w:val="0A52796C"/>
    <w:rsid w:val="0B5FC748"/>
    <w:rsid w:val="0D0ED09C"/>
    <w:rsid w:val="0D3F083B"/>
    <w:rsid w:val="0E15A10F"/>
    <w:rsid w:val="0EE3E6DD"/>
    <w:rsid w:val="0F18B5A5"/>
    <w:rsid w:val="0F78F527"/>
    <w:rsid w:val="0FA9E205"/>
    <w:rsid w:val="100AAB08"/>
    <w:rsid w:val="118F0ABE"/>
    <w:rsid w:val="126B838A"/>
    <w:rsid w:val="13293EEC"/>
    <w:rsid w:val="1440A601"/>
    <w:rsid w:val="14C70998"/>
    <w:rsid w:val="15704D80"/>
    <w:rsid w:val="169170EE"/>
    <w:rsid w:val="16B9DBE4"/>
    <w:rsid w:val="1752FFDE"/>
    <w:rsid w:val="1784070C"/>
    <w:rsid w:val="17ACD48E"/>
    <w:rsid w:val="17F41994"/>
    <w:rsid w:val="182650E3"/>
    <w:rsid w:val="185CD08E"/>
    <w:rsid w:val="1917E97A"/>
    <w:rsid w:val="195E407C"/>
    <w:rsid w:val="1A59EFFA"/>
    <w:rsid w:val="1BBD15E6"/>
    <w:rsid w:val="1BCD1DB3"/>
    <w:rsid w:val="1C2F607F"/>
    <w:rsid w:val="1D75CA9A"/>
    <w:rsid w:val="1E5D196F"/>
    <w:rsid w:val="1F6028D0"/>
    <w:rsid w:val="1F98FC9A"/>
    <w:rsid w:val="1FCC5310"/>
    <w:rsid w:val="1FFF1147"/>
    <w:rsid w:val="21174CBE"/>
    <w:rsid w:val="218C6443"/>
    <w:rsid w:val="2193E0C3"/>
    <w:rsid w:val="21F9D150"/>
    <w:rsid w:val="2246DF9D"/>
    <w:rsid w:val="224DF7B4"/>
    <w:rsid w:val="227F75E3"/>
    <w:rsid w:val="22F123A2"/>
    <w:rsid w:val="2341543E"/>
    <w:rsid w:val="2370BE3F"/>
    <w:rsid w:val="2386F250"/>
    <w:rsid w:val="23B6646C"/>
    <w:rsid w:val="24F52CAB"/>
    <w:rsid w:val="25510CD1"/>
    <w:rsid w:val="26153207"/>
    <w:rsid w:val="2691256C"/>
    <w:rsid w:val="2697ADCA"/>
    <w:rsid w:val="28274BC9"/>
    <w:rsid w:val="288F5F8E"/>
    <w:rsid w:val="2896C77B"/>
    <w:rsid w:val="28C07714"/>
    <w:rsid w:val="28FB88CB"/>
    <w:rsid w:val="292780CC"/>
    <w:rsid w:val="2A1095CD"/>
    <w:rsid w:val="2A3297DC"/>
    <w:rsid w:val="2A378A4E"/>
    <w:rsid w:val="2A47A6A5"/>
    <w:rsid w:val="2B0157B0"/>
    <w:rsid w:val="2B35147B"/>
    <w:rsid w:val="2BC7EA50"/>
    <w:rsid w:val="2C0C79C5"/>
    <w:rsid w:val="2C199327"/>
    <w:rsid w:val="2CAE05C8"/>
    <w:rsid w:val="2D1CFD5A"/>
    <w:rsid w:val="2D363C95"/>
    <w:rsid w:val="2DEC95A2"/>
    <w:rsid w:val="2E0D4E42"/>
    <w:rsid w:val="2E5FA4DB"/>
    <w:rsid w:val="2E9AE516"/>
    <w:rsid w:val="2EA702F3"/>
    <w:rsid w:val="2FE8E2E8"/>
    <w:rsid w:val="30A08577"/>
    <w:rsid w:val="30E57C66"/>
    <w:rsid w:val="316F6A44"/>
    <w:rsid w:val="318F830D"/>
    <w:rsid w:val="32959AF1"/>
    <w:rsid w:val="32CBA2A6"/>
    <w:rsid w:val="32D1C5E7"/>
    <w:rsid w:val="33D78EC1"/>
    <w:rsid w:val="3430CDC5"/>
    <w:rsid w:val="34572F23"/>
    <w:rsid w:val="348130C1"/>
    <w:rsid w:val="353475EB"/>
    <w:rsid w:val="364F3AFC"/>
    <w:rsid w:val="3693BFD3"/>
    <w:rsid w:val="36ED905F"/>
    <w:rsid w:val="371588AC"/>
    <w:rsid w:val="372EEB2A"/>
    <w:rsid w:val="37366B89"/>
    <w:rsid w:val="378EA6EA"/>
    <w:rsid w:val="38CB5305"/>
    <w:rsid w:val="3943528A"/>
    <w:rsid w:val="3B12698E"/>
    <w:rsid w:val="3B1AA812"/>
    <w:rsid w:val="3B3BC228"/>
    <w:rsid w:val="3B80B917"/>
    <w:rsid w:val="3C53FD9F"/>
    <w:rsid w:val="3CAAB647"/>
    <w:rsid w:val="3CB3B286"/>
    <w:rsid w:val="3ED7DB2A"/>
    <w:rsid w:val="3F313EB6"/>
    <w:rsid w:val="3F85AFF2"/>
    <w:rsid w:val="40166F15"/>
    <w:rsid w:val="40620B12"/>
    <w:rsid w:val="40DDE6CA"/>
    <w:rsid w:val="40FEF28C"/>
    <w:rsid w:val="4177506A"/>
    <w:rsid w:val="41C988DE"/>
    <w:rsid w:val="41D0906F"/>
    <w:rsid w:val="41D1A83A"/>
    <w:rsid w:val="41F537B9"/>
    <w:rsid w:val="42684800"/>
    <w:rsid w:val="42A4ECC2"/>
    <w:rsid w:val="45009228"/>
    <w:rsid w:val="453D36EA"/>
    <w:rsid w:val="459F514A"/>
    <w:rsid w:val="464339A9"/>
    <w:rsid w:val="46AF3AF8"/>
    <w:rsid w:val="46E2DCEF"/>
    <w:rsid w:val="46FEE996"/>
    <w:rsid w:val="470D2A25"/>
    <w:rsid w:val="4746A3DC"/>
    <w:rsid w:val="4800DDEE"/>
    <w:rsid w:val="4906527B"/>
    <w:rsid w:val="49CFD7D8"/>
    <w:rsid w:val="4AECD63A"/>
    <w:rsid w:val="4C5B8B4D"/>
    <w:rsid w:val="4C7996D3"/>
    <w:rsid w:val="4D2FBA05"/>
    <w:rsid w:val="4D402973"/>
    <w:rsid w:val="4DBAD4B8"/>
    <w:rsid w:val="4DC0819E"/>
    <w:rsid w:val="4E8B19D7"/>
    <w:rsid w:val="4EA5C481"/>
    <w:rsid w:val="4FABAB6F"/>
    <w:rsid w:val="4FF0EA5F"/>
    <w:rsid w:val="5054887C"/>
    <w:rsid w:val="511D03DC"/>
    <w:rsid w:val="51793CDD"/>
    <w:rsid w:val="517A9CF0"/>
    <w:rsid w:val="5208D949"/>
    <w:rsid w:val="525DBB89"/>
    <w:rsid w:val="526EFDEA"/>
    <w:rsid w:val="52B8D43D"/>
    <w:rsid w:val="52EF3891"/>
    <w:rsid w:val="543E82D9"/>
    <w:rsid w:val="5567A9C3"/>
    <w:rsid w:val="55DAD3D7"/>
    <w:rsid w:val="570EC6DF"/>
    <w:rsid w:val="576EF44A"/>
    <w:rsid w:val="5773D0D8"/>
    <w:rsid w:val="578C4560"/>
    <w:rsid w:val="585F109A"/>
    <w:rsid w:val="5881F21A"/>
    <w:rsid w:val="5908CE47"/>
    <w:rsid w:val="5940206E"/>
    <w:rsid w:val="59F5ABBB"/>
    <w:rsid w:val="5A4A2980"/>
    <w:rsid w:val="5ABDB0D3"/>
    <w:rsid w:val="5B4FABA8"/>
    <w:rsid w:val="5BFFC804"/>
    <w:rsid w:val="5C0FFE04"/>
    <w:rsid w:val="5C625874"/>
    <w:rsid w:val="5CCB8BF0"/>
    <w:rsid w:val="5CE7BE16"/>
    <w:rsid w:val="5CF0A60D"/>
    <w:rsid w:val="5D59B978"/>
    <w:rsid w:val="5EFA12FF"/>
    <w:rsid w:val="5EFB8A68"/>
    <w:rsid w:val="5F5F394A"/>
    <w:rsid w:val="5F7D048D"/>
    <w:rsid w:val="604FB5A6"/>
    <w:rsid w:val="6122FA2E"/>
    <w:rsid w:val="6167F11D"/>
    <w:rsid w:val="630BC6FA"/>
    <w:rsid w:val="63126045"/>
    <w:rsid w:val="63A2161D"/>
    <w:rsid w:val="63B12AFA"/>
    <w:rsid w:val="64D32E40"/>
    <w:rsid w:val="65B7EA8C"/>
    <w:rsid w:val="65DA1229"/>
    <w:rsid w:val="6670DE9E"/>
    <w:rsid w:val="675EBD97"/>
    <w:rsid w:val="6760B32B"/>
    <w:rsid w:val="676F56C5"/>
    <w:rsid w:val="6789B1D3"/>
    <w:rsid w:val="679434EB"/>
    <w:rsid w:val="67C8BA51"/>
    <w:rsid w:val="685AC78B"/>
    <w:rsid w:val="68677973"/>
    <w:rsid w:val="6887923C"/>
    <w:rsid w:val="6907CF42"/>
    <w:rsid w:val="694B3829"/>
    <w:rsid w:val="6A640EDB"/>
    <w:rsid w:val="6AEB56FE"/>
    <w:rsid w:val="6B051A94"/>
    <w:rsid w:val="6BBA882A"/>
    <w:rsid w:val="6BEA38F5"/>
    <w:rsid w:val="6C032DCE"/>
    <w:rsid w:val="6C1B273B"/>
    <w:rsid w:val="6C5720D1"/>
    <w:rsid w:val="6C7290C7"/>
    <w:rsid w:val="6CA0EAF5"/>
    <w:rsid w:val="6CCFEC6F"/>
    <w:rsid w:val="6D5074E3"/>
    <w:rsid w:val="6D713664"/>
    <w:rsid w:val="6DF1D5F6"/>
    <w:rsid w:val="6F09DC86"/>
    <w:rsid w:val="6F49DE58"/>
    <w:rsid w:val="6F523085"/>
    <w:rsid w:val="6FBA72B6"/>
    <w:rsid w:val="6FCBACDA"/>
    <w:rsid w:val="70A5ACE7"/>
    <w:rsid w:val="7168AC2B"/>
    <w:rsid w:val="72A01B41"/>
    <w:rsid w:val="72E9DEF1"/>
    <w:rsid w:val="73FDCE2A"/>
    <w:rsid w:val="74DC8D08"/>
    <w:rsid w:val="753AE1EB"/>
    <w:rsid w:val="75AE46D4"/>
    <w:rsid w:val="768575A6"/>
    <w:rsid w:val="77572422"/>
    <w:rsid w:val="77E67EAF"/>
    <w:rsid w:val="77E73048"/>
    <w:rsid w:val="795BF774"/>
    <w:rsid w:val="7AE995F1"/>
    <w:rsid w:val="7AEE48D3"/>
    <w:rsid w:val="7C3D9846"/>
    <w:rsid w:val="7D006895"/>
    <w:rsid w:val="7DE61879"/>
    <w:rsid w:val="7E895A27"/>
    <w:rsid w:val="7EA78AB2"/>
    <w:rsid w:val="7F410BDD"/>
    <w:rsid w:val="7FF5EB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85F177F9-89A5-41E7-8E8C-5D46AFC6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styleId="CommentText">
    <w:name w:val="annotation text"/>
    <w:basedOn w:val="Normal"/>
    <w:link w:val="CommentTextChar"/>
    <w:rsid w:val="00607D9A"/>
    <w:pPr>
      <w:suppressAutoHyphens/>
      <w:autoSpaceDN w:val="0"/>
      <w:textAlignment w:val="baseline"/>
    </w:pPr>
    <w:rPr>
      <w:sz w:val="20"/>
    </w:rPr>
  </w:style>
  <w:style w:type="character" w:customStyle="1" w:styleId="CommentTextChar">
    <w:name w:val="Comment Text Char"/>
    <w:basedOn w:val="DefaultParagraphFont"/>
    <w:link w:val="CommentText"/>
    <w:rsid w:val="00607D9A"/>
    <w:rPr>
      <w:rFonts w:ascii="Arial" w:hAnsi="Arial"/>
      <w:lang w:eastAsia="en-US"/>
    </w:rPr>
  </w:style>
  <w:style w:type="character" w:styleId="CommentReference">
    <w:name w:val="annotation reference"/>
    <w:basedOn w:val="DefaultParagraphFont"/>
    <w:rsid w:val="00607D9A"/>
    <w:rPr>
      <w:sz w:val="16"/>
      <w:szCs w:val="16"/>
    </w:rPr>
  </w:style>
  <w:style w:type="paragraph" w:styleId="CommentSubject">
    <w:name w:val="annotation subject"/>
    <w:basedOn w:val="CommentText"/>
    <w:next w:val="CommentText"/>
    <w:link w:val="CommentSubjectChar"/>
    <w:semiHidden/>
    <w:unhideWhenUsed/>
    <w:rsid w:val="003E08BE"/>
    <w:pPr>
      <w:suppressAutoHyphens w:val="0"/>
      <w:autoSpaceDN/>
      <w:textAlignment w:val="auto"/>
    </w:pPr>
    <w:rPr>
      <w:b/>
      <w:bCs/>
    </w:rPr>
  </w:style>
  <w:style w:type="character" w:customStyle="1" w:styleId="CommentSubjectChar">
    <w:name w:val="Comment Subject Char"/>
    <w:basedOn w:val="CommentTextChar"/>
    <w:link w:val="CommentSubject"/>
    <w:semiHidden/>
    <w:rsid w:val="003E08BE"/>
    <w:rPr>
      <w:rFonts w:ascii="Arial" w:hAnsi="Arial"/>
      <w:b/>
      <w:bCs/>
      <w:lang w:eastAsia="en-US"/>
    </w:rPr>
  </w:style>
  <w:style w:type="character" w:styleId="Mention">
    <w:name w:val="Mention"/>
    <w:basedOn w:val="DefaultParagraphFont"/>
    <w:uiPriority w:val="99"/>
    <w:unhideWhenUsed/>
    <w:rsid w:val="00CA70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20628564">
      <w:bodyDiv w:val="1"/>
      <w:marLeft w:val="0"/>
      <w:marRight w:val="0"/>
      <w:marTop w:val="0"/>
      <w:marBottom w:val="0"/>
      <w:divBdr>
        <w:top w:val="none" w:sz="0" w:space="0" w:color="auto"/>
        <w:left w:val="none" w:sz="0" w:space="0" w:color="auto"/>
        <w:bottom w:val="none" w:sz="0" w:space="0" w:color="auto"/>
        <w:right w:val="none" w:sz="0" w:space="0" w:color="auto"/>
      </w:divBdr>
    </w:div>
    <w:div w:id="15597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lenn.Palmer@harro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statistics-explained/index.php?title=Glossary:Full-time_equivalent_(FTE)" TargetMode="External"/><Relationship Id="rId2" Type="http://schemas.openxmlformats.org/officeDocument/2006/relationships/hyperlink" Target="http://driveproject.org.uk/wp-content/uploads/2020/01/Drive-Evaluation-Report-Final.pdf" TargetMode="External"/><Relationship Id="rId1" Type="http://schemas.openxmlformats.org/officeDocument/2006/relationships/hyperlink" Target="http://driveproject.org.uk/wp-content/uploads/2020/01/Drive-Evaluation-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SharedWithUsers xmlns="cb96df6d-1d75-48ee-81b6-706d750001a2">
      <UserInfo>
        <DisplayName>Alex Dewsnap</DisplayName>
        <AccountId>34</AccountId>
        <AccountType/>
      </UserInfo>
      <UserInfo>
        <DisplayName>Janice Noble</DisplayName>
        <AccountId>44</AccountId>
        <AccountType/>
      </UserInfo>
      <UserInfo>
        <DisplayName>Marzuki Haji</DisplayName>
        <AccountId>1163</AccountId>
        <AccountType/>
      </UserInfo>
      <UserInfo>
        <DisplayName>Lisa Taylor</DisplayName>
        <AccountId>974</AccountId>
        <AccountType/>
      </UserInfo>
      <UserInfo>
        <DisplayName>Nimesh Mehta</DisplayName>
        <AccountId>1508</AccountId>
        <AccountType/>
      </UserInfo>
      <UserInfo>
        <DisplayName>Ella Kesek</DisplayName>
        <AccountId>1747</AccountId>
        <AccountType/>
      </UserInfo>
      <UserInfo>
        <DisplayName>Puja Shah</DisplayName>
        <AccountId>1832</AccountId>
        <AccountType/>
      </UserInfo>
      <UserInfo>
        <DisplayName>Susan Dixson</DisplayName>
        <AccountId>1769</AccountId>
        <AccountType/>
      </UserInfo>
      <UserInfo>
        <DisplayName>Sharon Daniels</DisplayName>
        <AccountId>1799</AccountId>
        <AccountType/>
      </UserInfo>
      <UserInfo>
        <DisplayName>Stephen Dorrian</DisplayName>
        <AccountId>1833</AccountId>
        <AccountType/>
      </UserInfo>
      <UserInfo>
        <DisplayName>Patricia Davila</DisplayName>
        <AccountId>1839</AccountId>
        <AccountType/>
      </UserInfo>
      <UserInfo>
        <DisplayName>Senel Arkut</DisplayName>
        <AccountId>1840</AccountId>
        <AccountType/>
      </UserInfo>
      <UserInfo>
        <DisplayName>Hugh Peart</DisplayName>
        <AccountId>1843</AccountId>
        <AccountType/>
      </UserInfo>
      <UserInfo>
        <DisplayName>Nikoleta Kemp</DisplayName>
        <AccountId>1741</AccountId>
        <AccountType/>
      </UserInfo>
      <UserInfo>
        <DisplayName>Hodan Elmi</DisplayName>
        <AccountId>1756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B4A89EA8-4F9B-47E6-9C94-771E5AC0E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5327</Words>
  <Characters>28561</Characters>
  <Application>Microsoft Office Word</Application>
  <DocSecurity>0</DocSecurity>
  <Lines>238</Lines>
  <Paragraphs>67</Paragraphs>
  <ScaleCrop>false</ScaleCrop>
  <Company>Harrow Council</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265</cp:revision>
  <cp:lastPrinted>2014-11-01T13:34:00Z</cp:lastPrinted>
  <dcterms:created xsi:type="dcterms:W3CDTF">2022-08-19T00:24:00Z</dcterms:created>
  <dcterms:modified xsi:type="dcterms:W3CDTF">2022-09-06T16:07:00Z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